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09" w:type="dxa"/>
        <w:tblInd w:w="280" w:type="dxa"/>
        <w:tblLook w:val="04A0" w:firstRow="1" w:lastRow="0" w:firstColumn="1" w:lastColumn="0" w:noHBand="0" w:noVBand="1"/>
      </w:tblPr>
      <w:tblGrid>
        <w:gridCol w:w="4927"/>
        <w:gridCol w:w="1642"/>
        <w:gridCol w:w="685"/>
        <w:gridCol w:w="137"/>
        <w:gridCol w:w="2235"/>
        <w:gridCol w:w="67"/>
        <w:gridCol w:w="16"/>
      </w:tblGrid>
      <w:tr w:rsidR="00356BA2" w:rsidTr="004046FF">
        <w:trPr>
          <w:gridAfter w:val="2"/>
          <w:wAfter w:w="83" w:type="dxa"/>
          <w:trHeight w:val="1777"/>
        </w:trPr>
        <w:tc>
          <w:tcPr>
            <w:tcW w:w="7391" w:type="dxa"/>
            <w:gridSpan w:val="4"/>
            <w:tcBorders>
              <w:top w:val="nil"/>
              <w:left w:val="nil"/>
              <w:bottom w:val="nil"/>
              <w:right w:val="nil"/>
            </w:tcBorders>
          </w:tcPr>
          <w:p w:rsidR="00356BA2" w:rsidRDefault="00356BA2">
            <w:pPr>
              <w:spacing w:after="0" w:line="259" w:lineRule="auto"/>
              <w:ind w:left="-1140" w:right="139" w:firstLine="0"/>
            </w:pPr>
          </w:p>
          <w:tbl>
            <w:tblPr>
              <w:tblStyle w:val="TableGrid"/>
              <w:tblW w:w="7336" w:type="dxa"/>
              <w:tblInd w:w="0" w:type="dxa"/>
              <w:tblCellMar>
                <w:left w:w="115" w:type="dxa"/>
                <w:right w:w="115" w:type="dxa"/>
              </w:tblCellMar>
              <w:tblLook w:val="04A0" w:firstRow="1" w:lastRow="0" w:firstColumn="1" w:lastColumn="0" w:noHBand="0" w:noVBand="1"/>
            </w:tblPr>
            <w:tblGrid>
              <w:gridCol w:w="4927"/>
              <w:gridCol w:w="2409"/>
            </w:tblGrid>
            <w:tr w:rsidR="00356BA2">
              <w:trPr>
                <w:trHeight w:val="577"/>
              </w:trPr>
              <w:tc>
                <w:tcPr>
                  <w:tcW w:w="492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56BA2" w:rsidRDefault="00BF6E95">
                  <w:pPr>
                    <w:spacing w:after="0" w:line="259" w:lineRule="auto"/>
                    <w:ind w:left="0" w:right="2" w:firstLine="0"/>
                    <w:jc w:val="center"/>
                  </w:pPr>
                  <w:r>
                    <w:rPr>
                      <w:b/>
                    </w:rPr>
                    <w:t>REPORT TO</w:t>
                  </w:r>
                </w:p>
              </w:tc>
              <w:tc>
                <w:tcPr>
                  <w:tcW w:w="24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56BA2" w:rsidRDefault="00BF6E95">
                  <w:pPr>
                    <w:spacing w:after="0" w:line="259" w:lineRule="auto"/>
                    <w:ind w:left="1" w:firstLine="0"/>
                    <w:jc w:val="center"/>
                  </w:pPr>
                  <w:r>
                    <w:rPr>
                      <w:b/>
                    </w:rPr>
                    <w:t>ON</w:t>
                  </w:r>
                </w:p>
              </w:tc>
            </w:tr>
            <w:tr w:rsidR="00356BA2">
              <w:trPr>
                <w:trHeight w:val="665"/>
              </w:trPr>
              <w:tc>
                <w:tcPr>
                  <w:tcW w:w="4927" w:type="dxa"/>
                  <w:tcBorders>
                    <w:top w:val="single" w:sz="4" w:space="0" w:color="000000"/>
                    <w:left w:val="single" w:sz="4" w:space="0" w:color="000000"/>
                    <w:bottom w:val="single" w:sz="4" w:space="0" w:color="000000"/>
                    <w:right w:val="single" w:sz="4" w:space="0" w:color="000000"/>
                  </w:tcBorders>
                  <w:vAlign w:val="center"/>
                </w:tcPr>
                <w:p w:rsidR="00356BA2" w:rsidRDefault="00BF6E95">
                  <w:pPr>
                    <w:spacing w:after="0" w:line="259" w:lineRule="auto"/>
                    <w:ind w:left="0" w:right="2" w:firstLine="0"/>
                    <w:jc w:val="center"/>
                  </w:pPr>
                  <w:r>
                    <w:rPr>
                      <w:b/>
                      <w:sz w:val="24"/>
                    </w:rPr>
                    <w:t>CABINET</w:t>
                  </w:r>
                </w:p>
              </w:tc>
              <w:tc>
                <w:tcPr>
                  <w:tcW w:w="2409" w:type="dxa"/>
                  <w:tcBorders>
                    <w:top w:val="single" w:sz="4" w:space="0" w:color="000000"/>
                    <w:left w:val="single" w:sz="4" w:space="0" w:color="000000"/>
                    <w:bottom w:val="single" w:sz="4" w:space="0" w:color="000000"/>
                    <w:right w:val="single" w:sz="4" w:space="0" w:color="000000"/>
                  </w:tcBorders>
                  <w:vAlign w:val="center"/>
                </w:tcPr>
                <w:p w:rsidR="00356BA2" w:rsidRDefault="00A95A48" w:rsidP="00602431">
                  <w:pPr>
                    <w:spacing w:after="0" w:line="259" w:lineRule="auto"/>
                    <w:ind w:left="1" w:firstLine="0"/>
                    <w:jc w:val="center"/>
                  </w:pPr>
                  <w:r>
                    <w:t>13 February 2019</w:t>
                  </w:r>
                </w:p>
              </w:tc>
            </w:tr>
          </w:tbl>
          <w:p w:rsidR="00356BA2" w:rsidRDefault="00356BA2">
            <w:pPr>
              <w:spacing w:after="160" w:line="259" w:lineRule="auto"/>
              <w:ind w:left="0" w:firstLine="0"/>
            </w:pPr>
          </w:p>
        </w:tc>
        <w:tc>
          <w:tcPr>
            <w:tcW w:w="2235" w:type="dxa"/>
            <w:tcBorders>
              <w:top w:val="nil"/>
              <w:left w:val="nil"/>
              <w:bottom w:val="nil"/>
              <w:right w:val="nil"/>
            </w:tcBorders>
          </w:tcPr>
          <w:p w:rsidR="00356BA2" w:rsidRDefault="00BF6E95">
            <w:pPr>
              <w:spacing w:after="0" w:line="259" w:lineRule="auto"/>
              <w:ind w:left="139" w:firstLine="0"/>
            </w:pPr>
            <w:r>
              <w:rPr>
                <w:noProof/>
              </w:rPr>
              <w:drawing>
                <wp:inline distT="0" distB="0" distL="0" distR="0">
                  <wp:extent cx="1330960" cy="110553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330960" cy="1105535"/>
                          </a:xfrm>
                          <a:prstGeom prst="rect">
                            <a:avLst/>
                          </a:prstGeom>
                        </pic:spPr>
                      </pic:pic>
                    </a:graphicData>
                  </a:graphic>
                </wp:inline>
              </w:drawing>
            </w:r>
          </w:p>
        </w:tc>
      </w:tr>
      <w:tr w:rsidR="00356BA2" w:rsidTr="004046FF">
        <w:tblPrEx>
          <w:tblCellMar>
            <w:top w:w="50" w:type="dxa"/>
            <w:left w:w="115" w:type="dxa"/>
            <w:right w:w="115" w:type="dxa"/>
          </w:tblCellMar>
        </w:tblPrEx>
        <w:trPr>
          <w:gridAfter w:val="1"/>
          <w:wAfter w:w="16" w:type="dxa"/>
          <w:trHeight w:val="260"/>
        </w:trPr>
        <w:tc>
          <w:tcPr>
            <w:tcW w:w="4927" w:type="dxa"/>
            <w:tcBorders>
              <w:top w:val="single" w:sz="4" w:space="0" w:color="000000"/>
              <w:left w:val="single" w:sz="4" w:space="0" w:color="000000"/>
              <w:bottom w:val="single" w:sz="4" w:space="0" w:color="000000"/>
              <w:right w:val="single" w:sz="4" w:space="0" w:color="000000"/>
            </w:tcBorders>
            <w:shd w:val="clear" w:color="auto" w:fill="BFBFBF"/>
          </w:tcPr>
          <w:p w:rsidR="00356BA2" w:rsidRDefault="00BF6E95">
            <w:pPr>
              <w:spacing w:after="0" w:line="259" w:lineRule="auto"/>
              <w:ind w:left="0" w:right="2" w:firstLine="0"/>
              <w:jc w:val="center"/>
            </w:pPr>
            <w:r>
              <w:rPr>
                <w:b/>
              </w:rPr>
              <w:t>TITLE</w:t>
            </w:r>
          </w:p>
        </w:tc>
        <w:tc>
          <w:tcPr>
            <w:tcW w:w="2327" w:type="dxa"/>
            <w:gridSpan w:val="2"/>
            <w:tcBorders>
              <w:top w:val="single" w:sz="4" w:space="0" w:color="000000"/>
              <w:left w:val="single" w:sz="4" w:space="0" w:color="000000"/>
              <w:bottom w:val="single" w:sz="4" w:space="0" w:color="000000"/>
              <w:right w:val="single" w:sz="4" w:space="0" w:color="000000"/>
            </w:tcBorders>
            <w:shd w:val="clear" w:color="auto" w:fill="BFBFBF"/>
          </w:tcPr>
          <w:p w:rsidR="00356BA2" w:rsidRDefault="00BF6E95">
            <w:pPr>
              <w:spacing w:after="0" w:line="259" w:lineRule="auto"/>
              <w:ind w:left="0" w:right="2" w:firstLine="0"/>
              <w:jc w:val="center"/>
            </w:pPr>
            <w:r>
              <w:rPr>
                <w:b/>
              </w:rPr>
              <w:t>PORTFOLIO</w:t>
            </w:r>
          </w:p>
        </w:tc>
        <w:tc>
          <w:tcPr>
            <w:tcW w:w="2439" w:type="dxa"/>
            <w:gridSpan w:val="3"/>
            <w:tcBorders>
              <w:top w:val="single" w:sz="4" w:space="0" w:color="000000"/>
              <w:left w:val="single" w:sz="4" w:space="0" w:color="000000"/>
              <w:bottom w:val="single" w:sz="4" w:space="0" w:color="000000"/>
              <w:right w:val="single" w:sz="4" w:space="0" w:color="000000"/>
            </w:tcBorders>
            <w:shd w:val="clear" w:color="auto" w:fill="BFBFBF"/>
          </w:tcPr>
          <w:p w:rsidR="00356BA2" w:rsidRDefault="00BF6E95">
            <w:pPr>
              <w:spacing w:after="0" w:line="259" w:lineRule="auto"/>
              <w:ind w:left="1" w:firstLine="0"/>
              <w:jc w:val="center"/>
            </w:pPr>
            <w:r>
              <w:rPr>
                <w:b/>
              </w:rPr>
              <w:t>REPORT OF</w:t>
            </w:r>
          </w:p>
        </w:tc>
      </w:tr>
      <w:tr w:rsidR="00356BA2" w:rsidTr="004046FF">
        <w:tblPrEx>
          <w:tblCellMar>
            <w:top w:w="50" w:type="dxa"/>
            <w:left w:w="115" w:type="dxa"/>
            <w:right w:w="115" w:type="dxa"/>
          </w:tblCellMar>
        </w:tblPrEx>
        <w:trPr>
          <w:gridAfter w:val="1"/>
          <w:wAfter w:w="16" w:type="dxa"/>
          <w:trHeight w:val="1023"/>
        </w:trPr>
        <w:tc>
          <w:tcPr>
            <w:tcW w:w="4927" w:type="dxa"/>
            <w:tcBorders>
              <w:top w:val="single" w:sz="4" w:space="0" w:color="000000"/>
              <w:left w:val="single" w:sz="4" w:space="0" w:color="000000"/>
              <w:bottom w:val="single" w:sz="4" w:space="0" w:color="000000"/>
              <w:right w:val="single" w:sz="4" w:space="0" w:color="000000"/>
            </w:tcBorders>
            <w:vAlign w:val="center"/>
          </w:tcPr>
          <w:p w:rsidR="00DA01F1" w:rsidRDefault="00BF6E95" w:rsidP="00DC3EB7">
            <w:pPr>
              <w:spacing w:after="0" w:line="259" w:lineRule="auto"/>
              <w:ind w:left="0" w:right="2" w:firstLine="0"/>
              <w:jc w:val="center"/>
            </w:pPr>
            <w:r>
              <w:t>Council Tax Support Scheme</w:t>
            </w:r>
            <w:r w:rsidR="00DA01F1">
              <w:t xml:space="preserve"> – </w:t>
            </w:r>
            <w:r w:rsidR="0084670D">
              <w:t>Modelling</w:t>
            </w:r>
            <w:r w:rsidR="00DC3EB7">
              <w:t xml:space="preserve"> Outcome</w:t>
            </w:r>
            <w:r w:rsidR="0084670D">
              <w:t xml:space="preserve"> and </w:t>
            </w:r>
            <w:r w:rsidR="00DA01F1">
              <w:t>Hardship</w:t>
            </w:r>
            <w:r w:rsidR="00DC3EB7">
              <w:t xml:space="preserve"> Scheme Review</w:t>
            </w:r>
          </w:p>
        </w:tc>
        <w:tc>
          <w:tcPr>
            <w:tcW w:w="2327" w:type="dxa"/>
            <w:gridSpan w:val="2"/>
            <w:tcBorders>
              <w:top w:val="single" w:sz="4" w:space="0" w:color="000000"/>
              <w:left w:val="single" w:sz="4" w:space="0" w:color="000000"/>
              <w:bottom w:val="single" w:sz="4" w:space="0" w:color="000000"/>
              <w:right w:val="single" w:sz="4" w:space="0" w:color="000000"/>
            </w:tcBorders>
            <w:vAlign w:val="center"/>
          </w:tcPr>
          <w:p w:rsidR="00356BA2" w:rsidRDefault="00A270BA" w:rsidP="00602431">
            <w:pPr>
              <w:spacing w:after="0" w:line="259" w:lineRule="auto"/>
              <w:ind w:left="0" w:firstLine="0"/>
              <w:jc w:val="center"/>
            </w:pPr>
            <w:r>
              <w:t xml:space="preserve">Cabinet Member </w:t>
            </w:r>
            <w:r w:rsidR="00602431">
              <w:t>(</w:t>
            </w:r>
            <w:r w:rsidR="00BF6E95">
              <w:t>Finance</w:t>
            </w:r>
            <w:r w:rsidR="00602431">
              <w:t>)</w:t>
            </w:r>
            <w:bookmarkStart w:id="0" w:name="_GoBack"/>
            <w:bookmarkEnd w:id="0"/>
          </w:p>
        </w:tc>
        <w:tc>
          <w:tcPr>
            <w:tcW w:w="2439" w:type="dxa"/>
            <w:gridSpan w:val="3"/>
            <w:tcBorders>
              <w:top w:val="single" w:sz="4" w:space="0" w:color="000000"/>
              <w:left w:val="single" w:sz="4" w:space="0" w:color="000000"/>
              <w:bottom w:val="single" w:sz="4" w:space="0" w:color="000000"/>
              <w:right w:val="single" w:sz="4" w:space="0" w:color="000000"/>
            </w:tcBorders>
          </w:tcPr>
          <w:p w:rsidR="00A270BA" w:rsidRDefault="00A270BA">
            <w:pPr>
              <w:spacing w:after="0" w:line="259" w:lineRule="auto"/>
              <w:ind w:left="1" w:firstLine="0"/>
              <w:jc w:val="center"/>
            </w:pPr>
          </w:p>
          <w:p w:rsidR="004046FF" w:rsidRDefault="004046FF">
            <w:pPr>
              <w:spacing w:after="0" w:line="259" w:lineRule="auto"/>
              <w:ind w:left="1" w:firstLine="0"/>
              <w:jc w:val="center"/>
            </w:pPr>
            <w:r>
              <w:t>Director of Customer and Digital</w:t>
            </w:r>
          </w:p>
        </w:tc>
      </w:tr>
      <w:tr w:rsidR="00356BA2" w:rsidTr="004046FF">
        <w:tblPrEx>
          <w:tblCellMar>
            <w:top w:w="51" w:type="dxa"/>
            <w:left w:w="108" w:type="dxa"/>
            <w:right w:w="115" w:type="dxa"/>
          </w:tblCellMar>
        </w:tblPrEx>
        <w:trPr>
          <w:trHeight w:val="2540"/>
        </w:trPr>
        <w:tc>
          <w:tcPr>
            <w:tcW w:w="6569" w:type="dxa"/>
            <w:gridSpan w:val="2"/>
            <w:tcBorders>
              <w:top w:val="single" w:sz="4" w:space="0" w:color="000000"/>
              <w:left w:val="single" w:sz="4" w:space="0" w:color="000000"/>
              <w:bottom w:val="single" w:sz="4" w:space="0" w:color="000000"/>
              <w:right w:val="single" w:sz="4" w:space="0" w:color="000000"/>
            </w:tcBorders>
          </w:tcPr>
          <w:p w:rsidR="00356BA2" w:rsidRDefault="00BF6E95">
            <w:pPr>
              <w:spacing w:after="253" w:line="240" w:lineRule="auto"/>
              <w:ind w:left="0" w:firstLine="0"/>
            </w:pPr>
            <w:r>
              <w:t xml:space="preserve">Is this report a </w:t>
            </w:r>
            <w:r>
              <w:rPr>
                <w:b/>
              </w:rPr>
              <w:t>KEY DECISION</w:t>
            </w:r>
            <w:r>
              <w:t xml:space="preserve"> (i.e. more than £100,000 or impacting on more than 2 Borough wards?)</w:t>
            </w:r>
          </w:p>
          <w:p w:rsidR="00356BA2" w:rsidRDefault="00BF6E95">
            <w:pPr>
              <w:spacing w:after="486" w:line="259" w:lineRule="auto"/>
              <w:ind w:left="0" w:firstLine="0"/>
            </w:pPr>
            <w:r>
              <w:t xml:space="preserve">Is this report on the </w:t>
            </w:r>
            <w:r>
              <w:rPr>
                <w:b/>
              </w:rPr>
              <w:t>Statutory Cabinet Forward Plan</w:t>
            </w:r>
            <w:r>
              <w:t>?</w:t>
            </w:r>
          </w:p>
          <w:p w:rsidR="00356BA2" w:rsidRDefault="00BF6E95">
            <w:pPr>
              <w:spacing w:after="253" w:line="240" w:lineRule="auto"/>
              <w:ind w:left="0" w:firstLine="0"/>
            </w:pPr>
            <w:r>
              <w:t xml:space="preserve">Is the request outside the policy and budgetary framework and therefore subject to confirmation at full Council? </w:t>
            </w:r>
          </w:p>
          <w:p w:rsidR="00356BA2" w:rsidRDefault="00BF6E95">
            <w:pPr>
              <w:spacing w:after="0" w:line="259" w:lineRule="auto"/>
              <w:ind w:left="0" w:firstLine="0"/>
            </w:pPr>
            <w:r>
              <w:t>Is this report confidential?</w:t>
            </w:r>
          </w:p>
        </w:tc>
        <w:tc>
          <w:tcPr>
            <w:tcW w:w="3140" w:type="dxa"/>
            <w:gridSpan w:val="5"/>
            <w:tcBorders>
              <w:top w:val="single" w:sz="4" w:space="0" w:color="000000"/>
              <w:left w:val="single" w:sz="4" w:space="0" w:color="000000"/>
              <w:bottom w:val="single" w:sz="4" w:space="0" w:color="000000"/>
              <w:right w:val="single" w:sz="4" w:space="0" w:color="000000"/>
            </w:tcBorders>
          </w:tcPr>
          <w:p w:rsidR="00356BA2" w:rsidRDefault="00BF6E95">
            <w:pPr>
              <w:spacing w:after="486" w:line="259" w:lineRule="auto"/>
              <w:ind w:left="0" w:firstLine="0"/>
            </w:pPr>
            <w:r>
              <w:rPr>
                <w:b/>
              </w:rPr>
              <w:t>Yes</w:t>
            </w:r>
          </w:p>
          <w:p w:rsidR="00356BA2" w:rsidRDefault="00BF6E95">
            <w:pPr>
              <w:spacing w:after="486" w:line="259" w:lineRule="auto"/>
              <w:ind w:left="0" w:firstLine="0"/>
            </w:pPr>
            <w:r>
              <w:rPr>
                <w:b/>
              </w:rPr>
              <w:t xml:space="preserve">Yes  </w:t>
            </w:r>
          </w:p>
          <w:p w:rsidR="00356BA2" w:rsidRDefault="00F54131">
            <w:pPr>
              <w:spacing w:after="486" w:line="259" w:lineRule="auto"/>
              <w:ind w:left="0" w:firstLine="0"/>
            </w:pPr>
            <w:r>
              <w:rPr>
                <w:b/>
              </w:rPr>
              <w:t>No</w:t>
            </w:r>
          </w:p>
          <w:p w:rsidR="00356BA2" w:rsidRDefault="00BF6E95">
            <w:pPr>
              <w:spacing w:after="0" w:line="259" w:lineRule="auto"/>
              <w:ind w:left="0" w:firstLine="0"/>
            </w:pPr>
            <w:r>
              <w:rPr>
                <w:b/>
              </w:rPr>
              <w:t>No</w:t>
            </w:r>
          </w:p>
        </w:tc>
      </w:tr>
    </w:tbl>
    <w:p w:rsidR="004A29FB" w:rsidRDefault="00BF6E95" w:rsidP="00297868">
      <w:pPr>
        <w:pStyle w:val="Heading1"/>
        <w:tabs>
          <w:tab w:val="center" w:pos="366"/>
          <w:tab w:val="center" w:pos="2454"/>
        </w:tabs>
        <w:ind w:left="0" w:firstLine="0"/>
        <w:rPr>
          <w:rFonts w:ascii="Calibri" w:eastAsia="Calibri" w:hAnsi="Calibri" w:cs="Calibri"/>
          <w:b w:val="0"/>
        </w:rPr>
      </w:pPr>
      <w:r>
        <w:rPr>
          <w:rFonts w:ascii="Calibri" w:eastAsia="Calibri" w:hAnsi="Calibri" w:cs="Calibri"/>
          <w:b w:val="0"/>
        </w:rPr>
        <w:tab/>
      </w:r>
    </w:p>
    <w:p w:rsidR="00356BA2" w:rsidRPr="00297868" w:rsidRDefault="002D0E8A" w:rsidP="002D0E8A">
      <w:pPr>
        <w:pStyle w:val="Heading1"/>
        <w:tabs>
          <w:tab w:val="center" w:pos="366"/>
          <w:tab w:val="center" w:pos="2454"/>
        </w:tabs>
        <w:ind w:left="567" w:hanging="567"/>
        <w:rPr>
          <w:color w:val="auto"/>
        </w:rPr>
      </w:pPr>
      <w:r>
        <w:rPr>
          <w:color w:val="auto"/>
        </w:rPr>
        <w:t xml:space="preserve">1. </w:t>
      </w:r>
      <w:r>
        <w:rPr>
          <w:color w:val="auto"/>
        </w:rPr>
        <w:tab/>
      </w:r>
      <w:r>
        <w:rPr>
          <w:color w:val="auto"/>
        </w:rPr>
        <w:tab/>
      </w:r>
      <w:r w:rsidR="00BF6E95" w:rsidRPr="00297868">
        <w:rPr>
          <w:color w:val="auto"/>
        </w:rPr>
        <w:t xml:space="preserve">PURPOSE OF THE REPORT </w:t>
      </w:r>
    </w:p>
    <w:p w:rsidR="00E0490C" w:rsidRDefault="0081790F" w:rsidP="0081790F">
      <w:pPr>
        <w:ind w:left="567" w:hanging="567"/>
        <w:rPr>
          <w:color w:val="auto"/>
        </w:rPr>
      </w:pPr>
      <w:r>
        <w:t>1.</w:t>
      </w:r>
      <w:r w:rsidR="00E0312C">
        <w:t>1</w:t>
      </w:r>
      <w:r>
        <w:tab/>
      </w:r>
      <w:r w:rsidR="00E0490C">
        <w:t>As documented previously</w:t>
      </w:r>
      <w:r w:rsidRPr="004E1297">
        <w:rPr>
          <w:color w:val="auto"/>
        </w:rPr>
        <w:t xml:space="preserve"> the Cabinet</w:t>
      </w:r>
      <w:r w:rsidR="00F54131">
        <w:rPr>
          <w:color w:val="auto"/>
        </w:rPr>
        <w:t>’</w:t>
      </w:r>
      <w:r w:rsidRPr="004E1297">
        <w:rPr>
          <w:color w:val="auto"/>
        </w:rPr>
        <w:t xml:space="preserve">s intention </w:t>
      </w:r>
      <w:r w:rsidR="0075071C">
        <w:rPr>
          <w:color w:val="auto"/>
        </w:rPr>
        <w:t>ha</w:t>
      </w:r>
      <w:r w:rsidR="00A95A48">
        <w:rPr>
          <w:color w:val="auto"/>
        </w:rPr>
        <w:t>s</w:t>
      </w:r>
      <w:r w:rsidR="0075071C">
        <w:rPr>
          <w:color w:val="auto"/>
        </w:rPr>
        <w:t xml:space="preserve"> always been to </w:t>
      </w:r>
      <w:r w:rsidRPr="004E1297">
        <w:rPr>
          <w:color w:val="auto"/>
        </w:rPr>
        <w:t>consult and implement a</w:t>
      </w:r>
      <w:r w:rsidRPr="00411CD7">
        <w:rPr>
          <w:color w:val="auto"/>
        </w:rPr>
        <w:t xml:space="preserve"> new </w:t>
      </w:r>
      <w:r w:rsidR="00E0312C">
        <w:rPr>
          <w:color w:val="auto"/>
        </w:rPr>
        <w:t>Council Tax Support Scheme</w:t>
      </w:r>
      <w:r w:rsidR="0075071C">
        <w:rPr>
          <w:color w:val="auto"/>
        </w:rPr>
        <w:t xml:space="preserve"> in April 2019.</w:t>
      </w:r>
      <w:r w:rsidRPr="00DA01F1">
        <w:rPr>
          <w:color w:val="FF0000"/>
        </w:rPr>
        <w:t xml:space="preserve"> </w:t>
      </w:r>
      <w:r w:rsidRPr="00411CD7">
        <w:rPr>
          <w:color w:val="auto"/>
        </w:rPr>
        <w:t xml:space="preserve">However the Government announcement on changes to </w:t>
      </w:r>
      <w:r>
        <w:rPr>
          <w:color w:val="auto"/>
        </w:rPr>
        <w:t xml:space="preserve">Universal Credit (UC) </w:t>
      </w:r>
      <w:r w:rsidR="00DA01F1" w:rsidRPr="00411CD7">
        <w:rPr>
          <w:rFonts w:eastAsia="Times New Roman"/>
          <w:color w:val="auto"/>
        </w:rPr>
        <w:t>in the Chancellor</w:t>
      </w:r>
      <w:r w:rsidR="00F54131">
        <w:rPr>
          <w:rFonts w:eastAsia="Times New Roman"/>
          <w:color w:val="auto"/>
        </w:rPr>
        <w:t>’</w:t>
      </w:r>
      <w:r w:rsidR="00DA01F1" w:rsidRPr="00411CD7">
        <w:rPr>
          <w:rFonts w:eastAsia="Times New Roman"/>
          <w:color w:val="auto"/>
        </w:rPr>
        <w:t>s Budget o</w:t>
      </w:r>
      <w:r w:rsidR="00E0312C">
        <w:rPr>
          <w:rFonts w:eastAsia="Times New Roman"/>
          <w:color w:val="auto"/>
        </w:rPr>
        <w:t>f</w:t>
      </w:r>
      <w:r w:rsidR="00DA01F1" w:rsidRPr="00411CD7">
        <w:rPr>
          <w:rFonts w:eastAsia="Times New Roman"/>
          <w:color w:val="auto"/>
        </w:rPr>
        <w:t xml:space="preserve"> 29</w:t>
      </w:r>
      <w:r w:rsidR="00DA01F1" w:rsidRPr="00411CD7">
        <w:rPr>
          <w:rFonts w:eastAsia="Times New Roman"/>
          <w:color w:val="auto"/>
          <w:vertAlign w:val="superscript"/>
        </w:rPr>
        <w:t>th</w:t>
      </w:r>
      <w:r w:rsidR="00DA01F1" w:rsidRPr="00411CD7">
        <w:rPr>
          <w:rFonts w:eastAsia="Times New Roman"/>
          <w:color w:val="auto"/>
        </w:rPr>
        <w:t xml:space="preserve"> October 2018 </w:t>
      </w:r>
      <w:r w:rsidRPr="00411CD7">
        <w:rPr>
          <w:color w:val="auto"/>
        </w:rPr>
        <w:t>mean</w:t>
      </w:r>
      <w:r w:rsidR="00DA01F1">
        <w:rPr>
          <w:color w:val="auto"/>
        </w:rPr>
        <w:t>t</w:t>
      </w:r>
      <w:r w:rsidRPr="00411CD7">
        <w:rPr>
          <w:color w:val="auto"/>
        </w:rPr>
        <w:t xml:space="preserve"> that we need</w:t>
      </w:r>
      <w:r w:rsidR="00DA01F1">
        <w:rPr>
          <w:color w:val="auto"/>
        </w:rPr>
        <w:t>ed</w:t>
      </w:r>
      <w:r w:rsidRPr="00411CD7">
        <w:rPr>
          <w:color w:val="auto"/>
        </w:rPr>
        <w:t xml:space="preserve"> to review the potential impact of th</w:t>
      </w:r>
      <w:r w:rsidR="00DA01F1">
        <w:rPr>
          <w:color w:val="auto"/>
        </w:rPr>
        <w:t>e</w:t>
      </w:r>
      <w:r w:rsidRPr="00411CD7">
        <w:rPr>
          <w:color w:val="auto"/>
        </w:rPr>
        <w:t xml:space="preserve"> changes in relation to any local scheme that might be implemented. </w:t>
      </w:r>
      <w:r w:rsidR="00DA01F1">
        <w:rPr>
          <w:color w:val="auto"/>
        </w:rPr>
        <w:t xml:space="preserve">It was </w:t>
      </w:r>
      <w:r w:rsidR="00E0312C">
        <w:rPr>
          <w:color w:val="auto"/>
        </w:rPr>
        <w:t xml:space="preserve">therefore </w:t>
      </w:r>
      <w:r w:rsidR="00DA01F1">
        <w:rPr>
          <w:color w:val="auto"/>
        </w:rPr>
        <w:t xml:space="preserve">decided to </w:t>
      </w:r>
      <w:r w:rsidR="00E0490C">
        <w:rPr>
          <w:color w:val="auto"/>
        </w:rPr>
        <w:t xml:space="preserve">commission Policy in Practice to </w:t>
      </w:r>
      <w:r w:rsidRPr="00411CD7">
        <w:rPr>
          <w:color w:val="auto"/>
        </w:rPr>
        <w:t>undertake an impact assessment and remodelling of the current</w:t>
      </w:r>
      <w:r w:rsidR="00E0490C">
        <w:rPr>
          <w:color w:val="auto"/>
        </w:rPr>
        <w:t xml:space="preserve"> and </w:t>
      </w:r>
      <w:r w:rsidRPr="00411CD7">
        <w:rPr>
          <w:color w:val="auto"/>
        </w:rPr>
        <w:t>alternative</w:t>
      </w:r>
      <w:r>
        <w:rPr>
          <w:color w:val="auto"/>
        </w:rPr>
        <w:t xml:space="preserve"> scheme</w:t>
      </w:r>
      <w:r w:rsidRPr="00411CD7">
        <w:rPr>
          <w:color w:val="auto"/>
        </w:rPr>
        <w:t xml:space="preserve"> options. </w:t>
      </w:r>
      <w:r w:rsidR="00E0490C">
        <w:rPr>
          <w:color w:val="auto"/>
        </w:rPr>
        <w:t>This</w:t>
      </w:r>
      <w:r w:rsidRPr="00411CD7">
        <w:rPr>
          <w:color w:val="auto"/>
        </w:rPr>
        <w:t xml:space="preserve"> report </w:t>
      </w:r>
      <w:r w:rsidR="00E0490C">
        <w:rPr>
          <w:color w:val="auto"/>
        </w:rPr>
        <w:t>details the outcome of that remodelling.</w:t>
      </w:r>
      <w:r w:rsidRPr="00411CD7">
        <w:rPr>
          <w:color w:val="auto"/>
        </w:rPr>
        <w:t xml:space="preserve"> </w:t>
      </w:r>
    </w:p>
    <w:p w:rsidR="0081790F" w:rsidRPr="00A95A48" w:rsidRDefault="00A95A48" w:rsidP="00A95A48">
      <w:pPr>
        <w:ind w:left="576" w:hanging="576"/>
        <w:rPr>
          <w:color w:val="auto"/>
        </w:rPr>
      </w:pPr>
      <w:r>
        <w:rPr>
          <w:color w:val="auto"/>
        </w:rPr>
        <w:t>1.</w:t>
      </w:r>
      <w:r w:rsidR="00E0312C">
        <w:rPr>
          <w:color w:val="auto"/>
        </w:rPr>
        <w:t>2</w:t>
      </w:r>
      <w:r>
        <w:rPr>
          <w:color w:val="auto"/>
        </w:rPr>
        <w:tab/>
      </w:r>
      <w:r w:rsidR="00E0490C" w:rsidRPr="00A95A48">
        <w:rPr>
          <w:color w:val="auto"/>
        </w:rPr>
        <w:t xml:space="preserve">It was also identified that promotion and take up of the Exceptional Hardship </w:t>
      </w:r>
      <w:r>
        <w:rPr>
          <w:color w:val="auto"/>
        </w:rPr>
        <w:t xml:space="preserve">Fund </w:t>
      </w:r>
      <w:r w:rsidR="00E0490C" w:rsidRPr="00A95A48">
        <w:rPr>
          <w:color w:val="auto"/>
        </w:rPr>
        <w:t>was low and there was a need to proactively promote the</w:t>
      </w:r>
      <w:r>
        <w:rPr>
          <w:color w:val="auto"/>
        </w:rPr>
        <w:t xml:space="preserve"> Fund</w:t>
      </w:r>
      <w:r w:rsidR="00E0490C" w:rsidRPr="00A95A48">
        <w:rPr>
          <w:color w:val="auto"/>
        </w:rPr>
        <w:t xml:space="preserve"> to ensure that it supports</w:t>
      </w:r>
      <w:r w:rsidR="0081790F" w:rsidRPr="00A95A48">
        <w:rPr>
          <w:color w:val="auto"/>
        </w:rPr>
        <w:t xml:space="preserve"> those in greatest need</w:t>
      </w:r>
      <w:r w:rsidR="00E0490C" w:rsidRPr="00A95A48">
        <w:rPr>
          <w:color w:val="auto"/>
        </w:rPr>
        <w:t>.</w:t>
      </w:r>
    </w:p>
    <w:p w:rsidR="00356BA2" w:rsidRDefault="00411CD7" w:rsidP="00411CD7">
      <w:pPr>
        <w:pStyle w:val="Heading1"/>
        <w:spacing w:after="253"/>
        <w:ind w:left="567" w:right="455" w:hanging="567"/>
        <w:rPr>
          <w:color w:val="auto"/>
        </w:rPr>
      </w:pPr>
      <w:r>
        <w:rPr>
          <w:color w:val="auto"/>
        </w:rPr>
        <w:t xml:space="preserve">2. </w:t>
      </w:r>
      <w:r>
        <w:rPr>
          <w:color w:val="auto"/>
        </w:rPr>
        <w:tab/>
      </w:r>
      <w:r w:rsidR="00BF6E95" w:rsidRPr="00297868">
        <w:rPr>
          <w:color w:val="auto"/>
        </w:rPr>
        <w:t>PORTFOLIO RECOMMENDATIONS</w:t>
      </w:r>
    </w:p>
    <w:p w:rsidR="004046FF" w:rsidRPr="00411CD7" w:rsidRDefault="00411CD7" w:rsidP="0081790F">
      <w:pPr>
        <w:ind w:left="567" w:hanging="567"/>
        <w:rPr>
          <w:rFonts w:ascii="ArialMT" w:eastAsiaTheme="minorEastAsia" w:hAnsi="ArialMT" w:cs="ArialMT"/>
          <w:color w:val="auto"/>
        </w:rPr>
      </w:pPr>
      <w:r w:rsidRPr="004E1297">
        <w:t>2.1</w:t>
      </w:r>
      <w:r w:rsidRPr="004E1297">
        <w:tab/>
      </w:r>
      <w:r w:rsidR="004046FF" w:rsidRPr="00411CD7">
        <w:rPr>
          <w:color w:val="auto"/>
        </w:rPr>
        <w:t xml:space="preserve">That the </w:t>
      </w:r>
      <w:r w:rsidR="000F34D4" w:rsidRPr="00411CD7">
        <w:rPr>
          <w:color w:val="auto"/>
        </w:rPr>
        <w:t>C</w:t>
      </w:r>
      <w:r w:rsidR="00DF4897" w:rsidRPr="00411CD7">
        <w:rPr>
          <w:color w:val="auto"/>
        </w:rPr>
        <w:t>abinet</w:t>
      </w:r>
      <w:r w:rsidR="004046FF" w:rsidRPr="00411CD7">
        <w:rPr>
          <w:color w:val="auto"/>
        </w:rPr>
        <w:t xml:space="preserve"> notes the</w:t>
      </w:r>
      <w:r w:rsidR="00E7103D" w:rsidRPr="00411CD7">
        <w:rPr>
          <w:color w:val="auto"/>
        </w:rPr>
        <w:t xml:space="preserve"> recent Government </w:t>
      </w:r>
      <w:r w:rsidR="00790811" w:rsidRPr="00411CD7">
        <w:rPr>
          <w:color w:val="auto"/>
        </w:rPr>
        <w:t xml:space="preserve">budget </w:t>
      </w:r>
      <w:r w:rsidR="00E7103D" w:rsidRPr="00411CD7">
        <w:rPr>
          <w:color w:val="auto"/>
        </w:rPr>
        <w:t xml:space="preserve">announcements </w:t>
      </w:r>
      <w:r w:rsidR="00154A17" w:rsidRPr="00411CD7">
        <w:rPr>
          <w:color w:val="auto"/>
        </w:rPr>
        <w:t xml:space="preserve">and </w:t>
      </w:r>
      <w:r w:rsidR="00E0490C">
        <w:rPr>
          <w:color w:val="auto"/>
        </w:rPr>
        <w:t xml:space="preserve">the remodelling work carried out </w:t>
      </w:r>
      <w:r w:rsidR="00477DC9">
        <w:rPr>
          <w:color w:val="auto"/>
        </w:rPr>
        <w:t xml:space="preserve">to inform the formal consultation required to adopt a revised Council Tax Support scheme for 2020/2021. </w:t>
      </w:r>
    </w:p>
    <w:p w:rsidR="00356BA2" w:rsidRPr="00411CD7" w:rsidRDefault="00411CD7" w:rsidP="00B64479">
      <w:pPr>
        <w:spacing w:after="240"/>
        <w:ind w:left="567" w:hanging="567"/>
        <w:rPr>
          <w:color w:val="auto"/>
        </w:rPr>
      </w:pPr>
      <w:r>
        <w:rPr>
          <w:color w:val="auto"/>
        </w:rPr>
        <w:t>2.</w:t>
      </w:r>
      <w:r w:rsidR="0081790F">
        <w:rPr>
          <w:color w:val="auto"/>
        </w:rPr>
        <w:t>2</w:t>
      </w:r>
      <w:r>
        <w:rPr>
          <w:color w:val="auto"/>
        </w:rPr>
        <w:tab/>
      </w:r>
      <w:r w:rsidR="00BF6E95" w:rsidRPr="00411CD7">
        <w:rPr>
          <w:color w:val="auto"/>
        </w:rPr>
        <w:t xml:space="preserve">That the </w:t>
      </w:r>
      <w:r w:rsidR="00DF4897" w:rsidRPr="00411CD7">
        <w:rPr>
          <w:color w:val="auto"/>
        </w:rPr>
        <w:t xml:space="preserve">Cabinet </w:t>
      </w:r>
      <w:r w:rsidR="00477DC9">
        <w:rPr>
          <w:color w:val="auto"/>
        </w:rPr>
        <w:t>notes</w:t>
      </w:r>
      <w:r w:rsidR="004A29FB">
        <w:rPr>
          <w:color w:val="auto"/>
        </w:rPr>
        <w:t xml:space="preserve"> </w:t>
      </w:r>
      <w:r w:rsidR="002A5CD9" w:rsidRPr="00411CD7">
        <w:rPr>
          <w:color w:val="auto"/>
        </w:rPr>
        <w:t xml:space="preserve">the </w:t>
      </w:r>
      <w:r w:rsidR="00477DC9">
        <w:rPr>
          <w:color w:val="auto"/>
        </w:rPr>
        <w:t xml:space="preserve">proposed work to proactively promote </w:t>
      </w:r>
      <w:r w:rsidR="004A29FB">
        <w:rPr>
          <w:color w:val="auto"/>
        </w:rPr>
        <w:t xml:space="preserve">the </w:t>
      </w:r>
      <w:r w:rsidR="00790811" w:rsidRPr="00411CD7">
        <w:rPr>
          <w:color w:val="auto"/>
        </w:rPr>
        <w:t>hardship</w:t>
      </w:r>
      <w:r w:rsidR="004A29FB">
        <w:rPr>
          <w:color w:val="auto"/>
        </w:rPr>
        <w:t xml:space="preserve"> </w:t>
      </w:r>
      <w:r w:rsidR="008635D9">
        <w:rPr>
          <w:color w:val="auto"/>
        </w:rPr>
        <w:t>f</w:t>
      </w:r>
      <w:r w:rsidR="00A95A48">
        <w:rPr>
          <w:color w:val="auto"/>
        </w:rPr>
        <w:t>unds</w:t>
      </w:r>
      <w:r w:rsidR="00477DC9">
        <w:rPr>
          <w:color w:val="auto"/>
        </w:rPr>
        <w:t>.</w:t>
      </w:r>
      <w:r w:rsidR="00BF6E95" w:rsidRPr="00411CD7">
        <w:rPr>
          <w:color w:val="auto"/>
        </w:rPr>
        <w:t xml:space="preserve"> </w:t>
      </w:r>
    </w:p>
    <w:p w:rsidR="00356BA2" w:rsidRPr="00297868" w:rsidRDefault="004A304D" w:rsidP="00DF4897">
      <w:pPr>
        <w:pStyle w:val="Heading1"/>
        <w:ind w:left="567" w:right="455" w:hanging="567"/>
        <w:rPr>
          <w:color w:val="auto"/>
        </w:rPr>
      </w:pPr>
      <w:r w:rsidRPr="00297868">
        <w:rPr>
          <w:color w:val="auto"/>
        </w:rPr>
        <w:t xml:space="preserve">3. </w:t>
      </w:r>
      <w:r w:rsidR="002D0E8A">
        <w:rPr>
          <w:color w:val="auto"/>
        </w:rPr>
        <w:tab/>
      </w:r>
      <w:r w:rsidR="00BF6E95" w:rsidRPr="00297868">
        <w:rPr>
          <w:color w:val="auto"/>
        </w:rPr>
        <w:t>REASONS FOR THE DECISION</w:t>
      </w:r>
    </w:p>
    <w:p w:rsidR="0080793A" w:rsidRPr="00297868" w:rsidRDefault="0080793A" w:rsidP="00790811">
      <w:pPr>
        <w:spacing w:after="0" w:line="240" w:lineRule="auto"/>
        <w:ind w:left="567" w:hanging="567"/>
        <w:rPr>
          <w:rFonts w:eastAsia="Times New Roman"/>
          <w:color w:val="auto"/>
        </w:rPr>
      </w:pPr>
      <w:r w:rsidRPr="00297868">
        <w:rPr>
          <w:rFonts w:eastAsia="Times New Roman"/>
          <w:color w:val="auto"/>
        </w:rPr>
        <w:t>3.1</w:t>
      </w:r>
      <w:r w:rsidRPr="00297868">
        <w:rPr>
          <w:rFonts w:eastAsia="Times New Roman"/>
          <w:color w:val="auto"/>
        </w:rPr>
        <w:tab/>
        <w:t xml:space="preserve">The adoption of a </w:t>
      </w:r>
      <w:r w:rsidR="009147B9" w:rsidRPr="00297868">
        <w:rPr>
          <w:rFonts w:eastAsia="Times New Roman"/>
          <w:color w:val="auto"/>
        </w:rPr>
        <w:t xml:space="preserve">revised </w:t>
      </w:r>
      <w:r w:rsidRPr="00297868">
        <w:rPr>
          <w:rFonts w:eastAsia="Times New Roman"/>
          <w:color w:val="auto"/>
        </w:rPr>
        <w:t>Council Tax Support scheme has been agreed as a priority in the Corporate Plan (2018-23)</w:t>
      </w:r>
      <w:r w:rsidR="00A95A48">
        <w:rPr>
          <w:rFonts w:eastAsia="Times New Roman"/>
          <w:color w:val="auto"/>
        </w:rPr>
        <w:t xml:space="preserve"> and Medium Term Financial Strategy</w:t>
      </w:r>
      <w:r w:rsidRPr="00297868">
        <w:rPr>
          <w:rFonts w:eastAsia="Times New Roman"/>
          <w:color w:val="auto"/>
        </w:rPr>
        <w:t>.</w:t>
      </w:r>
    </w:p>
    <w:p w:rsidR="0080793A" w:rsidRPr="00297868" w:rsidRDefault="0080793A" w:rsidP="00790811">
      <w:pPr>
        <w:spacing w:after="0" w:line="240" w:lineRule="auto"/>
        <w:ind w:left="567" w:hanging="567"/>
        <w:rPr>
          <w:rFonts w:eastAsia="Times New Roman"/>
          <w:color w:val="auto"/>
        </w:rPr>
      </w:pPr>
      <w:r w:rsidRPr="00297868">
        <w:rPr>
          <w:rFonts w:eastAsia="Times New Roman"/>
          <w:color w:val="auto"/>
        </w:rPr>
        <w:t xml:space="preserve"> </w:t>
      </w:r>
    </w:p>
    <w:p w:rsidR="0080793A" w:rsidRPr="00297868" w:rsidRDefault="0080793A" w:rsidP="00790811">
      <w:pPr>
        <w:spacing w:after="0" w:line="240" w:lineRule="auto"/>
        <w:ind w:left="567" w:hanging="567"/>
        <w:rPr>
          <w:rFonts w:eastAsia="Times New Roman"/>
          <w:color w:val="auto"/>
        </w:rPr>
      </w:pPr>
      <w:r w:rsidRPr="00297868">
        <w:rPr>
          <w:rFonts w:eastAsia="Times New Roman"/>
          <w:color w:val="auto"/>
        </w:rPr>
        <w:t>3.2</w:t>
      </w:r>
      <w:r w:rsidRPr="00297868">
        <w:rPr>
          <w:rFonts w:eastAsia="Times New Roman"/>
          <w:color w:val="auto"/>
        </w:rPr>
        <w:tab/>
      </w:r>
      <w:r w:rsidR="00CF5331" w:rsidRPr="00297868">
        <w:rPr>
          <w:rFonts w:eastAsia="Times New Roman"/>
          <w:color w:val="auto"/>
        </w:rPr>
        <w:t>To ensure that a</w:t>
      </w:r>
      <w:r w:rsidR="00790811" w:rsidRPr="00297868">
        <w:rPr>
          <w:rFonts w:eastAsia="Times New Roman"/>
          <w:color w:val="auto"/>
        </w:rPr>
        <w:t>ny future</w:t>
      </w:r>
      <w:r w:rsidR="00477DC9">
        <w:rPr>
          <w:rFonts w:eastAsia="Times New Roman"/>
          <w:color w:val="auto"/>
        </w:rPr>
        <w:t>,</w:t>
      </w:r>
      <w:r w:rsidR="00790811" w:rsidRPr="00297868">
        <w:rPr>
          <w:rFonts w:eastAsia="Times New Roman"/>
          <w:color w:val="auto"/>
        </w:rPr>
        <w:t xml:space="preserve"> </w:t>
      </w:r>
      <w:r w:rsidR="00CF5331" w:rsidRPr="00297868">
        <w:rPr>
          <w:rFonts w:eastAsia="Times New Roman"/>
          <w:color w:val="auto"/>
        </w:rPr>
        <w:t xml:space="preserve">new or </w:t>
      </w:r>
      <w:r w:rsidRPr="00297868">
        <w:rPr>
          <w:rFonts w:eastAsia="Times New Roman"/>
          <w:color w:val="auto"/>
        </w:rPr>
        <w:t>revised scheme is intended to address the potential administrative burden of the rollout of Universal Credit</w:t>
      </w:r>
      <w:r w:rsidR="00CF5331" w:rsidRPr="00297868">
        <w:rPr>
          <w:rFonts w:eastAsia="Times New Roman"/>
          <w:color w:val="auto"/>
        </w:rPr>
        <w:t xml:space="preserve"> and satisfy the </w:t>
      </w:r>
      <w:r w:rsidRPr="00297868">
        <w:rPr>
          <w:rFonts w:eastAsia="Times New Roman"/>
          <w:color w:val="auto"/>
        </w:rPr>
        <w:t>statutory requirement within the localisation of Council Tax Support that consultation must take place with major preceptors and residents.</w:t>
      </w:r>
    </w:p>
    <w:p w:rsidR="0080793A" w:rsidRPr="00297868" w:rsidRDefault="0080793A" w:rsidP="0080793A">
      <w:pPr>
        <w:spacing w:after="0" w:line="240" w:lineRule="auto"/>
        <w:ind w:left="720" w:hanging="461"/>
        <w:rPr>
          <w:rFonts w:eastAsia="Times New Roman"/>
          <w:color w:val="auto"/>
        </w:rPr>
      </w:pPr>
    </w:p>
    <w:p w:rsidR="00356BA2" w:rsidRPr="00297868" w:rsidRDefault="0080793A" w:rsidP="002D0E8A">
      <w:pPr>
        <w:pStyle w:val="Heading1"/>
        <w:tabs>
          <w:tab w:val="center" w:pos="335"/>
          <w:tab w:val="center" w:pos="2197"/>
        </w:tabs>
        <w:spacing w:after="253"/>
        <w:ind w:left="567" w:hanging="567"/>
        <w:rPr>
          <w:color w:val="auto"/>
        </w:rPr>
      </w:pPr>
      <w:r w:rsidRPr="00297868">
        <w:rPr>
          <w:color w:val="auto"/>
        </w:rPr>
        <w:lastRenderedPageBreak/>
        <w:t xml:space="preserve">4. </w:t>
      </w:r>
      <w:r w:rsidR="00BF6E95" w:rsidRPr="00297868">
        <w:rPr>
          <w:color w:val="auto"/>
        </w:rPr>
        <w:tab/>
      </w:r>
      <w:r w:rsidR="002D0E8A">
        <w:rPr>
          <w:color w:val="auto"/>
        </w:rPr>
        <w:tab/>
      </w:r>
      <w:r w:rsidR="00BF6E95" w:rsidRPr="00297868">
        <w:rPr>
          <w:color w:val="auto"/>
        </w:rPr>
        <w:t>CORPORATE PRIORITIES</w:t>
      </w:r>
    </w:p>
    <w:p w:rsidR="00356BA2" w:rsidRPr="00297868" w:rsidRDefault="00BF6E95" w:rsidP="009147B9">
      <w:pPr>
        <w:tabs>
          <w:tab w:val="center" w:pos="427"/>
          <w:tab w:val="center" w:pos="3598"/>
        </w:tabs>
        <w:spacing w:after="7"/>
        <w:ind w:left="567" w:hanging="567"/>
        <w:rPr>
          <w:color w:val="auto"/>
        </w:rPr>
      </w:pPr>
      <w:r w:rsidRPr="00297868">
        <w:rPr>
          <w:color w:val="auto"/>
        </w:rPr>
        <w:tab/>
      </w:r>
      <w:r w:rsidR="009147B9" w:rsidRPr="00297868">
        <w:rPr>
          <w:color w:val="auto"/>
        </w:rPr>
        <w:t xml:space="preserve">4.1    </w:t>
      </w:r>
      <w:r w:rsidRPr="00297868">
        <w:rPr>
          <w:color w:val="auto"/>
        </w:rPr>
        <w:t>The report relates to the following corporate priorities:</w:t>
      </w:r>
    </w:p>
    <w:tbl>
      <w:tblPr>
        <w:tblStyle w:val="TableGrid"/>
        <w:tblW w:w="5273" w:type="dxa"/>
        <w:tblInd w:w="813" w:type="dxa"/>
        <w:tblCellMar>
          <w:top w:w="33" w:type="dxa"/>
          <w:left w:w="108" w:type="dxa"/>
          <w:right w:w="115" w:type="dxa"/>
        </w:tblCellMar>
        <w:tblLook w:val="04A0" w:firstRow="1" w:lastRow="0" w:firstColumn="1" w:lastColumn="0" w:noHBand="0" w:noVBand="1"/>
      </w:tblPr>
      <w:tblGrid>
        <w:gridCol w:w="4423"/>
        <w:gridCol w:w="850"/>
      </w:tblGrid>
      <w:tr w:rsidR="00297868" w:rsidRPr="00297868">
        <w:trPr>
          <w:trHeight w:val="263"/>
        </w:trPr>
        <w:tc>
          <w:tcPr>
            <w:tcW w:w="4423" w:type="dxa"/>
            <w:tcBorders>
              <w:top w:val="single" w:sz="4" w:space="0" w:color="000000"/>
              <w:left w:val="single" w:sz="4" w:space="0" w:color="000000"/>
              <w:bottom w:val="single" w:sz="4" w:space="0" w:color="000000"/>
              <w:right w:val="single" w:sz="4" w:space="0" w:color="000000"/>
            </w:tcBorders>
          </w:tcPr>
          <w:p w:rsidR="00356BA2" w:rsidRPr="00297868" w:rsidRDefault="00BF6E95">
            <w:pPr>
              <w:spacing w:after="0" w:line="259" w:lineRule="auto"/>
              <w:ind w:left="0" w:firstLine="0"/>
              <w:rPr>
                <w:color w:val="auto"/>
              </w:rPr>
            </w:pPr>
            <w:r w:rsidRPr="00297868">
              <w:rPr>
                <w:color w:val="auto"/>
              </w:rPr>
              <w:t>Excellence and Financial Sustainability</w:t>
            </w:r>
          </w:p>
          <w:p w:rsidR="009147B9" w:rsidRPr="00297868" w:rsidRDefault="009147B9">
            <w:pPr>
              <w:spacing w:after="0" w:line="259" w:lineRule="auto"/>
              <w:ind w:left="0" w:firstLine="0"/>
              <w:rPr>
                <w:color w:val="auto"/>
              </w:rPr>
            </w:pPr>
          </w:p>
        </w:tc>
        <w:tc>
          <w:tcPr>
            <w:tcW w:w="850" w:type="dxa"/>
            <w:tcBorders>
              <w:top w:val="single" w:sz="4" w:space="0" w:color="000000"/>
              <w:left w:val="single" w:sz="4" w:space="0" w:color="000000"/>
              <w:bottom w:val="single" w:sz="4" w:space="0" w:color="000000"/>
              <w:right w:val="single" w:sz="4" w:space="0" w:color="000000"/>
            </w:tcBorders>
          </w:tcPr>
          <w:p w:rsidR="00356BA2" w:rsidRPr="00297868" w:rsidRDefault="00BF6E95">
            <w:pPr>
              <w:spacing w:after="0" w:line="259" w:lineRule="auto"/>
              <w:ind w:left="231" w:firstLine="0"/>
              <w:rPr>
                <w:color w:val="auto"/>
              </w:rPr>
            </w:pPr>
            <w:r w:rsidRPr="00297868">
              <w:rPr>
                <w:rFonts w:ascii="Wingdings" w:eastAsia="Wingdings" w:hAnsi="Wingdings" w:cs="Wingdings"/>
                <w:color w:val="auto"/>
              </w:rPr>
              <w:t></w:t>
            </w:r>
          </w:p>
        </w:tc>
      </w:tr>
      <w:tr w:rsidR="00297868" w:rsidRPr="00297868">
        <w:trPr>
          <w:trHeight w:val="516"/>
        </w:trPr>
        <w:tc>
          <w:tcPr>
            <w:tcW w:w="4423" w:type="dxa"/>
            <w:tcBorders>
              <w:top w:val="single" w:sz="4" w:space="0" w:color="000000"/>
              <w:left w:val="single" w:sz="4" w:space="0" w:color="000000"/>
              <w:bottom w:val="single" w:sz="4" w:space="0" w:color="000000"/>
              <w:right w:val="single" w:sz="4" w:space="0" w:color="000000"/>
            </w:tcBorders>
          </w:tcPr>
          <w:p w:rsidR="00356BA2" w:rsidRPr="00297868" w:rsidRDefault="00BF6E95">
            <w:pPr>
              <w:spacing w:after="0" w:line="259" w:lineRule="auto"/>
              <w:ind w:left="0" w:firstLine="0"/>
              <w:rPr>
                <w:color w:val="auto"/>
              </w:rPr>
            </w:pPr>
            <w:r w:rsidRPr="00297868">
              <w:rPr>
                <w:color w:val="auto"/>
              </w:rPr>
              <w:t>Health and Wellbeing</w:t>
            </w:r>
          </w:p>
        </w:tc>
        <w:tc>
          <w:tcPr>
            <w:tcW w:w="850" w:type="dxa"/>
            <w:tcBorders>
              <w:top w:val="single" w:sz="4" w:space="0" w:color="000000"/>
              <w:left w:val="single" w:sz="4" w:space="0" w:color="000000"/>
              <w:bottom w:val="single" w:sz="4" w:space="0" w:color="000000"/>
              <w:right w:val="single" w:sz="4" w:space="0" w:color="000000"/>
            </w:tcBorders>
          </w:tcPr>
          <w:p w:rsidR="00356BA2" w:rsidRPr="00297868" w:rsidRDefault="00356BA2">
            <w:pPr>
              <w:spacing w:after="0" w:line="259" w:lineRule="auto"/>
              <w:ind w:left="231" w:firstLine="0"/>
              <w:rPr>
                <w:color w:val="auto"/>
              </w:rPr>
            </w:pPr>
          </w:p>
        </w:tc>
      </w:tr>
      <w:tr w:rsidR="00356BA2" w:rsidRPr="00297868">
        <w:trPr>
          <w:trHeight w:val="516"/>
        </w:trPr>
        <w:tc>
          <w:tcPr>
            <w:tcW w:w="4423" w:type="dxa"/>
            <w:tcBorders>
              <w:top w:val="single" w:sz="4" w:space="0" w:color="000000"/>
              <w:left w:val="single" w:sz="4" w:space="0" w:color="000000"/>
              <w:bottom w:val="single" w:sz="4" w:space="0" w:color="000000"/>
              <w:right w:val="single" w:sz="4" w:space="0" w:color="000000"/>
            </w:tcBorders>
          </w:tcPr>
          <w:p w:rsidR="00356BA2" w:rsidRPr="00297868" w:rsidRDefault="00BF6E95">
            <w:pPr>
              <w:spacing w:after="0" w:line="259" w:lineRule="auto"/>
              <w:ind w:left="0" w:firstLine="0"/>
              <w:rPr>
                <w:color w:val="auto"/>
              </w:rPr>
            </w:pPr>
            <w:r w:rsidRPr="00297868">
              <w:rPr>
                <w:color w:val="auto"/>
              </w:rPr>
              <w:t>Place</w:t>
            </w:r>
          </w:p>
        </w:tc>
        <w:tc>
          <w:tcPr>
            <w:tcW w:w="850" w:type="dxa"/>
            <w:tcBorders>
              <w:top w:val="single" w:sz="4" w:space="0" w:color="000000"/>
              <w:left w:val="single" w:sz="4" w:space="0" w:color="000000"/>
              <w:bottom w:val="single" w:sz="4" w:space="0" w:color="000000"/>
              <w:right w:val="single" w:sz="4" w:space="0" w:color="000000"/>
            </w:tcBorders>
          </w:tcPr>
          <w:p w:rsidR="00356BA2" w:rsidRPr="00297868" w:rsidRDefault="00356BA2">
            <w:pPr>
              <w:spacing w:after="0" w:line="259" w:lineRule="auto"/>
              <w:ind w:left="231" w:firstLine="0"/>
              <w:rPr>
                <w:color w:val="auto"/>
              </w:rPr>
            </w:pPr>
          </w:p>
        </w:tc>
      </w:tr>
    </w:tbl>
    <w:p w:rsidR="00356BA2" w:rsidRPr="00297868" w:rsidRDefault="00356BA2">
      <w:pPr>
        <w:spacing w:after="7"/>
        <w:ind w:left="1004"/>
        <w:rPr>
          <w:color w:val="auto"/>
        </w:rPr>
      </w:pPr>
    </w:p>
    <w:p w:rsidR="00356BA2" w:rsidRPr="00297868" w:rsidRDefault="00BF6E95" w:rsidP="002D0E8A">
      <w:pPr>
        <w:tabs>
          <w:tab w:val="center" w:pos="335"/>
          <w:tab w:val="center" w:pos="2570"/>
        </w:tabs>
        <w:spacing w:after="231" w:line="265" w:lineRule="auto"/>
        <w:ind w:left="567" w:hanging="567"/>
        <w:rPr>
          <w:b/>
          <w:color w:val="auto"/>
        </w:rPr>
      </w:pPr>
      <w:r w:rsidRPr="00297868">
        <w:rPr>
          <w:rFonts w:ascii="Calibri" w:eastAsia="Calibri" w:hAnsi="Calibri" w:cs="Calibri"/>
          <w:color w:val="auto"/>
        </w:rPr>
        <w:tab/>
      </w:r>
      <w:r w:rsidR="004A304D" w:rsidRPr="00297868">
        <w:rPr>
          <w:rFonts w:eastAsia="Calibri"/>
          <w:b/>
          <w:color w:val="auto"/>
        </w:rPr>
        <w:t>5</w:t>
      </w:r>
      <w:r w:rsidR="004A304D" w:rsidRPr="00297868">
        <w:rPr>
          <w:rFonts w:ascii="Calibri" w:eastAsia="Calibri" w:hAnsi="Calibri" w:cs="Calibri"/>
          <w:color w:val="auto"/>
        </w:rPr>
        <w:t xml:space="preserve">. </w:t>
      </w:r>
      <w:r w:rsidR="002D0E8A">
        <w:rPr>
          <w:rFonts w:ascii="Calibri" w:eastAsia="Calibri" w:hAnsi="Calibri" w:cs="Calibri"/>
          <w:color w:val="auto"/>
        </w:rPr>
        <w:tab/>
      </w:r>
      <w:r w:rsidRPr="00297868">
        <w:rPr>
          <w:b/>
          <w:color w:val="auto"/>
        </w:rPr>
        <w:t>BACKGROUND TO THE REPORT</w:t>
      </w:r>
    </w:p>
    <w:p w:rsidR="0080793A" w:rsidRPr="00297868" w:rsidRDefault="0080793A" w:rsidP="0080793A">
      <w:pPr>
        <w:keepNext/>
        <w:spacing w:after="0" w:line="240" w:lineRule="auto"/>
        <w:ind w:left="567" w:hanging="567"/>
        <w:outlineLvl w:val="0"/>
        <w:rPr>
          <w:rFonts w:eastAsia="Times New Roman"/>
          <w:color w:val="auto"/>
        </w:rPr>
      </w:pPr>
      <w:r w:rsidRPr="00297868">
        <w:rPr>
          <w:rFonts w:eastAsia="Times New Roman"/>
          <w:color w:val="auto"/>
        </w:rPr>
        <w:t>5.1</w:t>
      </w:r>
      <w:r w:rsidRPr="00297868">
        <w:rPr>
          <w:rFonts w:eastAsia="Times New Roman"/>
          <w:i/>
          <w:color w:val="auto"/>
        </w:rPr>
        <w:tab/>
      </w:r>
      <w:r w:rsidRPr="00297868">
        <w:rPr>
          <w:rFonts w:eastAsia="Times New Roman"/>
          <w:color w:val="auto"/>
        </w:rPr>
        <w:t xml:space="preserve">Council Tax Support (CTS) is a discount designed to help low-income households pay their Council Tax bill. Until 2012/13, it was a centrally-administered benefit, known as Council Tax Benefit (CTB). </w:t>
      </w:r>
      <w:r w:rsidR="00DF4897" w:rsidRPr="00297868">
        <w:rPr>
          <w:rFonts w:eastAsia="Times New Roman"/>
          <w:color w:val="auto"/>
        </w:rPr>
        <w:t>A</w:t>
      </w:r>
      <w:r w:rsidRPr="00297868">
        <w:rPr>
          <w:rFonts w:eastAsia="Times New Roman"/>
          <w:color w:val="auto"/>
        </w:rPr>
        <w:t>dministration of the benefit was devolved to local authorities</w:t>
      </w:r>
      <w:r w:rsidR="00DF4897" w:rsidRPr="00297868">
        <w:rPr>
          <w:rFonts w:eastAsia="Times New Roman"/>
          <w:color w:val="auto"/>
        </w:rPr>
        <w:t xml:space="preserve"> in April 2013</w:t>
      </w:r>
      <w:r w:rsidRPr="00297868">
        <w:rPr>
          <w:rFonts w:eastAsia="Times New Roman"/>
          <w:color w:val="auto"/>
        </w:rPr>
        <w:t>, together with a reduction in Government funding. This was part of a package of wider reforms to the welfare system intended to improve the incentives to work and ensur</w:t>
      </w:r>
      <w:r w:rsidR="00DF4897" w:rsidRPr="00297868">
        <w:rPr>
          <w:rFonts w:eastAsia="Times New Roman"/>
          <w:color w:val="auto"/>
        </w:rPr>
        <w:t>e</w:t>
      </w:r>
      <w:r w:rsidRPr="00297868">
        <w:rPr>
          <w:rFonts w:eastAsia="Times New Roman"/>
          <w:color w:val="auto"/>
        </w:rPr>
        <w:t xml:space="preserve"> resources are used more effectively, so reducing unemployment and ending a culture of benefit dependency. Local authorities are required by law to maintain the levels of support offered to pensioner households, meaning that a pensioner household can receive CTS equal to 100% of their council tax liability. However, local authorities are able to amend their local scheme for working-age households. In the majority of local authorities, this has meant that the reductions in government funding when CTB was localised were passed on to working-age households, and many people saw their level of CTS entitlement </w:t>
      </w:r>
      <w:r w:rsidR="00DF4897" w:rsidRPr="00297868">
        <w:rPr>
          <w:rFonts w:eastAsia="Times New Roman"/>
          <w:color w:val="auto"/>
        </w:rPr>
        <w:t>reduce</w:t>
      </w:r>
      <w:r w:rsidRPr="00297868">
        <w:rPr>
          <w:rFonts w:eastAsia="Times New Roman"/>
          <w:color w:val="auto"/>
        </w:rPr>
        <w:t xml:space="preserve">. </w:t>
      </w:r>
      <w:r w:rsidR="00DF4897" w:rsidRPr="00297868">
        <w:rPr>
          <w:rFonts w:eastAsia="Times New Roman"/>
          <w:color w:val="auto"/>
        </w:rPr>
        <w:t>I</w:t>
      </w:r>
      <w:r w:rsidRPr="00297868">
        <w:rPr>
          <w:rFonts w:eastAsia="Times New Roman"/>
          <w:color w:val="auto"/>
        </w:rPr>
        <w:t xml:space="preserve">n financial year 2013/14 </w:t>
      </w:r>
      <w:r w:rsidR="00DF4897" w:rsidRPr="00297868">
        <w:rPr>
          <w:rFonts w:eastAsia="Times New Roman"/>
          <w:color w:val="auto"/>
        </w:rPr>
        <w:t xml:space="preserve">SRBC </w:t>
      </w:r>
      <w:r w:rsidRPr="00297868">
        <w:rPr>
          <w:rFonts w:eastAsia="Times New Roman"/>
          <w:color w:val="auto"/>
        </w:rPr>
        <w:t xml:space="preserve">introduced a ‘minimum payment’ which for </w:t>
      </w:r>
      <w:r w:rsidR="000F231C" w:rsidRPr="00297868">
        <w:rPr>
          <w:rFonts w:eastAsia="Times New Roman"/>
          <w:color w:val="auto"/>
        </w:rPr>
        <w:t>20</w:t>
      </w:r>
      <w:r w:rsidRPr="00297868">
        <w:rPr>
          <w:rFonts w:eastAsia="Times New Roman"/>
          <w:color w:val="auto"/>
        </w:rPr>
        <w:t xml:space="preserve">18/19 is £3.50/week, therefore every working age household in receipt of CTS must pay at least this amount of their council tax bill. </w:t>
      </w:r>
    </w:p>
    <w:p w:rsidR="0080793A" w:rsidRPr="00297868" w:rsidRDefault="0080793A" w:rsidP="0080793A">
      <w:pPr>
        <w:keepNext/>
        <w:spacing w:after="0" w:line="240" w:lineRule="auto"/>
        <w:ind w:left="567" w:firstLine="0"/>
        <w:outlineLvl w:val="0"/>
        <w:rPr>
          <w:rFonts w:eastAsia="Times New Roman"/>
          <w:color w:val="auto"/>
        </w:rPr>
      </w:pPr>
    </w:p>
    <w:p w:rsidR="0080793A" w:rsidRPr="00297868" w:rsidRDefault="0080793A" w:rsidP="0080793A">
      <w:pPr>
        <w:keepNext/>
        <w:spacing w:after="0" w:line="240" w:lineRule="auto"/>
        <w:ind w:left="567" w:hanging="567"/>
        <w:outlineLvl w:val="0"/>
        <w:rPr>
          <w:rFonts w:eastAsia="Times New Roman"/>
          <w:color w:val="auto"/>
        </w:rPr>
      </w:pPr>
      <w:r w:rsidRPr="00297868">
        <w:rPr>
          <w:rFonts w:eastAsia="Times New Roman"/>
          <w:color w:val="auto"/>
        </w:rPr>
        <w:t>5.</w:t>
      </w:r>
      <w:r w:rsidR="002D0E8A">
        <w:rPr>
          <w:rFonts w:eastAsia="Times New Roman"/>
          <w:color w:val="auto"/>
        </w:rPr>
        <w:t>2</w:t>
      </w:r>
      <w:r w:rsidRPr="00297868">
        <w:rPr>
          <w:rFonts w:eastAsia="Times New Roman"/>
          <w:color w:val="auto"/>
        </w:rPr>
        <w:tab/>
        <w:t>The collection rates for SRBC have not been adversely affected by the Council Tax Support scheme. The table below illustrates that collection rates both prior to and post April 2013 have remained consistently high.</w:t>
      </w:r>
    </w:p>
    <w:p w:rsidR="0080793A" w:rsidRPr="00297868" w:rsidRDefault="0080793A" w:rsidP="0080793A">
      <w:pPr>
        <w:keepNext/>
        <w:spacing w:after="0" w:line="240" w:lineRule="auto"/>
        <w:ind w:left="567" w:firstLine="0"/>
        <w:outlineLvl w:val="0"/>
        <w:rPr>
          <w:rFonts w:eastAsia="Times New Roman"/>
          <w:color w:val="auto"/>
        </w:rPr>
      </w:pPr>
    </w:p>
    <w:tbl>
      <w:tblPr>
        <w:tblStyle w:val="TableGrid0"/>
        <w:tblW w:w="0" w:type="auto"/>
        <w:tblInd w:w="1838" w:type="dxa"/>
        <w:tblLook w:val="04A0" w:firstRow="1" w:lastRow="0" w:firstColumn="1" w:lastColumn="0" w:noHBand="0" w:noVBand="1"/>
      </w:tblPr>
      <w:tblGrid>
        <w:gridCol w:w="2614"/>
        <w:gridCol w:w="2347"/>
      </w:tblGrid>
      <w:tr w:rsidR="00297868" w:rsidRPr="00297868" w:rsidTr="002A5CD9">
        <w:tc>
          <w:tcPr>
            <w:tcW w:w="2614"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Financial Year</w:t>
            </w:r>
          </w:p>
        </w:tc>
        <w:tc>
          <w:tcPr>
            <w:tcW w:w="2347"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Collection Rate %</w:t>
            </w:r>
          </w:p>
        </w:tc>
      </w:tr>
      <w:tr w:rsidR="00297868" w:rsidRPr="00297868" w:rsidTr="002A5CD9">
        <w:tc>
          <w:tcPr>
            <w:tcW w:w="2614"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2011/12</w:t>
            </w:r>
          </w:p>
        </w:tc>
        <w:tc>
          <w:tcPr>
            <w:tcW w:w="2347"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97.4</w:t>
            </w:r>
          </w:p>
        </w:tc>
      </w:tr>
      <w:tr w:rsidR="00297868" w:rsidRPr="00297868" w:rsidTr="002A5CD9">
        <w:tc>
          <w:tcPr>
            <w:tcW w:w="2614"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2012/13</w:t>
            </w:r>
          </w:p>
        </w:tc>
        <w:tc>
          <w:tcPr>
            <w:tcW w:w="2347"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97.5</w:t>
            </w:r>
          </w:p>
        </w:tc>
      </w:tr>
      <w:tr w:rsidR="00297868" w:rsidRPr="00297868" w:rsidTr="002A5CD9">
        <w:tc>
          <w:tcPr>
            <w:tcW w:w="2614"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2013/14</w:t>
            </w:r>
          </w:p>
        </w:tc>
        <w:tc>
          <w:tcPr>
            <w:tcW w:w="2347"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97.4</w:t>
            </w:r>
          </w:p>
        </w:tc>
      </w:tr>
      <w:tr w:rsidR="00297868" w:rsidRPr="00297868" w:rsidTr="002A5CD9">
        <w:tc>
          <w:tcPr>
            <w:tcW w:w="2614"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2014/15</w:t>
            </w:r>
          </w:p>
        </w:tc>
        <w:tc>
          <w:tcPr>
            <w:tcW w:w="2347"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97.4</w:t>
            </w:r>
          </w:p>
        </w:tc>
      </w:tr>
      <w:tr w:rsidR="00297868" w:rsidRPr="00297868" w:rsidTr="002A5CD9">
        <w:tc>
          <w:tcPr>
            <w:tcW w:w="2614"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2015/16</w:t>
            </w:r>
          </w:p>
        </w:tc>
        <w:tc>
          <w:tcPr>
            <w:tcW w:w="2347"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97.2</w:t>
            </w:r>
          </w:p>
        </w:tc>
      </w:tr>
      <w:tr w:rsidR="00297868" w:rsidRPr="00297868" w:rsidTr="002A5CD9">
        <w:tc>
          <w:tcPr>
            <w:tcW w:w="2614"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2016/17</w:t>
            </w:r>
          </w:p>
        </w:tc>
        <w:tc>
          <w:tcPr>
            <w:tcW w:w="2347"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97.4</w:t>
            </w:r>
          </w:p>
        </w:tc>
      </w:tr>
      <w:tr w:rsidR="00297868" w:rsidRPr="00297868" w:rsidTr="002A5CD9">
        <w:tc>
          <w:tcPr>
            <w:tcW w:w="2614"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2017/18</w:t>
            </w:r>
          </w:p>
        </w:tc>
        <w:tc>
          <w:tcPr>
            <w:tcW w:w="2347" w:type="dxa"/>
          </w:tcPr>
          <w:p w:rsidR="006B76B3" w:rsidRPr="00297868" w:rsidRDefault="006B76B3" w:rsidP="002A5CD9">
            <w:pPr>
              <w:keepNext/>
              <w:spacing w:after="0" w:line="240" w:lineRule="auto"/>
              <w:ind w:left="0" w:firstLine="0"/>
              <w:jc w:val="center"/>
              <w:outlineLvl w:val="0"/>
              <w:rPr>
                <w:rFonts w:eastAsia="Times New Roman"/>
                <w:color w:val="auto"/>
              </w:rPr>
            </w:pPr>
            <w:r w:rsidRPr="00297868">
              <w:rPr>
                <w:rFonts w:eastAsia="Times New Roman"/>
                <w:color w:val="auto"/>
              </w:rPr>
              <w:t>97.5</w:t>
            </w:r>
          </w:p>
        </w:tc>
      </w:tr>
    </w:tbl>
    <w:p w:rsidR="0080793A" w:rsidRPr="00297868" w:rsidRDefault="0080793A" w:rsidP="0080793A">
      <w:pPr>
        <w:keepNext/>
        <w:spacing w:after="0" w:line="240" w:lineRule="auto"/>
        <w:ind w:left="567" w:firstLine="0"/>
        <w:outlineLvl w:val="0"/>
        <w:rPr>
          <w:rFonts w:eastAsia="Times New Roman"/>
          <w:color w:val="auto"/>
        </w:rPr>
      </w:pPr>
    </w:p>
    <w:p w:rsidR="0044472C" w:rsidRPr="003266E3" w:rsidRDefault="003266E3" w:rsidP="003266E3">
      <w:pPr>
        <w:ind w:left="567" w:firstLine="0"/>
        <w:rPr>
          <w:rFonts w:eastAsia="Times New Roman"/>
          <w:color w:val="auto"/>
        </w:rPr>
      </w:pPr>
      <w:r w:rsidRPr="003266E3">
        <w:rPr>
          <w:rFonts w:eastAsia="Times New Roman"/>
          <w:color w:val="auto"/>
        </w:rPr>
        <w:t>The total enforcement n</w:t>
      </w:r>
      <w:r w:rsidRPr="003266E3">
        <w:rPr>
          <w:color w:val="auto"/>
        </w:rPr>
        <w:t xml:space="preserve">umbers </w:t>
      </w:r>
      <w:r>
        <w:rPr>
          <w:color w:val="auto"/>
        </w:rPr>
        <w:t xml:space="preserve">for </w:t>
      </w:r>
      <w:r w:rsidRPr="003266E3">
        <w:rPr>
          <w:color w:val="auto"/>
        </w:rPr>
        <w:t>2018/19 is 1,109 with 1,079</w:t>
      </w:r>
      <w:r>
        <w:rPr>
          <w:color w:val="auto"/>
        </w:rPr>
        <w:t xml:space="preserve"> of these</w:t>
      </w:r>
      <w:r w:rsidRPr="003266E3">
        <w:rPr>
          <w:color w:val="auto"/>
        </w:rPr>
        <w:t xml:space="preserve"> relating to unpaid Council Tax. </w:t>
      </w:r>
      <w:r w:rsidR="00C67AE7" w:rsidRPr="00C67AE7">
        <w:rPr>
          <w:color w:val="auto"/>
        </w:rPr>
        <w:t xml:space="preserve">As part of our current policies and practices we continually inform and allow the customer to contact the council to discuss possible repayment arrangements at our various recovery stages.  Before any enforcement action is considered, we individually review each case to seek alternative solutions for recovery before issuing the case to our enforcement agents.  Only if no other method is available or no contact is made by the customer, would the case be issued.  </w:t>
      </w:r>
    </w:p>
    <w:p w:rsidR="00BA6B43" w:rsidRDefault="00BA6B43" w:rsidP="00BA6B43">
      <w:pPr>
        <w:keepNext/>
        <w:spacing w:after="0" w:line="240" w:lineRule="auto"/>
        <w:ind w:left="567" w:hanging="567"/>
        <w:outlineLvl w:val="0"/>
        <w:rPr>
          <w:rFonts w:eastAsia="Times New Roman"/>
          <w:color w:val="auto"/>
        </w:rPr>
      </w:pPr>
      <w:r w:rsidRPr="00297868">
        <w:rPr>
          <w:rFonts w:eastAsia="Times New Roman"/>
          <w:color w:val="auto"/>
        </w:rPr>
        <w:t>5.</w:t>
      </w:r>
      <w:r w:rsidR="002D0E8A">
        <w:rPr>
          <w:rFonts w:eastAsia="Times New Roman"/>
          <w:color w:val="auto"/>
        </w:rPr>
        <w:t>3</w:t>
      </w:r>
      <w:r w:rsidRPr="00297868">
        <w:rPr>
          <w:rFonts w:eastAsia="Times New Roman"/>
          <w:color w:val="auto"/>
        </w:rPr>
        <w:t xml:space="preserve">  </w:t>
      </w:r>
      <w:r w:rsidRPr="00297868">
        <w:rPr>
          <w:rFonts w:eastAsia="Times New Roman"/>
          <w:color w:val="auto"/>
        </w:rPr>
        <w:tab/>
        <w:t>At the Full Council meeting on 28</w:t>
      </w:r>
      <w:r w:rsidRPr="00297868">
        <w:rPr>
          <w:rFonts w:eastAsia="Times New Roman"/>
          <w:color w:val="auto"/>
          <w:vertAlign w:val="superscript"/>
        </w:rPr>
        <w:t>th</w:t>
      </w:r>
      <w:r w:rsidRPr="00297868">
        <w:rPr>
          <w:rFonts w:eastAsia="Times New Roman"/>
          <w:color w:val="auto"/>
        </w:rPr>
        <w:t xml:space="preserve"> February 2018, members expressed a desire for changes to be made to the working age scheme. There was, and </w:t>
      </w:r>
      <w:r w:rsidRPr="00297868">
        <w:rPr>
          <w:rFonts w:eastAsia="Times New Roman"/>
          <w:color w:val="auto"/>
        </w:rPr>
        <w:lastRenderedPageBreak/>
        <w:t xml:space="preserve">still is, concern that the current £3.50 per week minimum payment is unaffordable for some. </w:t>
      </w:r>
    </w:p>
    <w:p w:rsidR="00477DC9" w:rsidRPr="00297868" w:rsidRDefault="00477DC9" w:rsidP="00BA6B43">
      <w:pPr>
        <w:keepNext/>
        <w:spacing w:after="0" w:line="240" w:lineRule="auto"/>
        <w:ind w:left="567" w:hanging="567"/>
        <w:outlineLvl w:val="0"/>
        <w:rPr>
          <w:rFonts w:eastAsia="Times New Roman"/>
          <w:color w:val="auto"/>
        </w:rPr>
      </w:pPr>
    </w:p>
    <w:p w:rsidR="00BA6B43" w:rsidRPr="00297868" w:rsidRDefault="00BA6B43" w:rsidP="00BA6B43">
      <w:pPr>
        <w:spacing w:after="150" w:line="240" w:lineRule="auto"/>
        <w:ind w:left="567" w:hanging="567"/>
        <w:rPr>
          <w:rFonts w:eastAsia="Times New Roman"/>
          <w:color w:val="auto"/>
        </w:rPr>
      </w:pPr>
      <w:r w:rsidRPr="00297868">
        <w:rPr>
          <w:rFonts w:eastAsia="Times New Roman"/>
          <w:color w:val="auto"/>
        </w:rPr>
        <w:t>5.</w:t>
      </w:r>
      <w:r w:rsidR="002D0E8A">
        <w:rPr>
          <w:rFonts w:eastAsia="Times New Roman"/>
          <w:color w:val="auto"/>
        </w:rPr>
        <w:t>4</w:t>
      </w:r>
      <w:r w:rsidRPr="00297868">
        <w:rPr>
          <w:rFonts w:eastAsia="Times New Roman"/>
          <w:color w:val="auto"/>
        </w:rPr>
        <w:tab/>
        <w:t xml:space="preserve">A report was presented to Cabinet on the </w:t>
      </w:r>
      <w:r w:rsidR="00477DC9">
        <w:rPr>
          <w:rFonts w:eastAsia="Times New Roman"/>
          <w:color w:val="auto"/>
        </w:rPr>
        <w:t>23 January 2019</w:t>
      </w:r>
      <w:r w:rsidRPr="00297868">
        <w:rPr>
          <w:rFonts w:eastAsia="Times New Roman"/>
          <w:color w:val="auto"/>
        </w:rPr>
        <w:t xml:space="preserve"> updating Cabinet on the work to date on the CTS scheme and a recommendation to </w:t>
      </w:r>
      <w:r w:rsidR="00B4629B">
        <w:rPr>
          <w:rFonts w:eastAsia="Times New Roman"/>
          <w:color w:val="auto"/>
        </w:rPr>
        <w:t xml:space="preserve">continue with the current scheme </w:t>
      </w:r>
      <w:r w:rsidRPr="00297868">
        <w:rPr>
          <w:rFonts w:eastAsia="Times New Roman"/>
          <w:color w:val="auto"/>
        </w:rPr>
        <w:t>during financial year 2019/20</w:t>
      </w:r>
      <w:r w:rsidR="00B4629B">
        <w:rPr>
          <w:rFonts w:eastAsia="Times New Roman"/>
          <w:color w:val="auto"/>
        </w:rPr>
        <w:t>,</w:t>
      </w:r>
      <w:r w:rsidRPr="00297868">
        <w:rPr>
          <w:rFonts w:eastAsia="Times New Roman"/>
          <w:color w:val="auto"/>
        </w:rPr>
        <w:t xml:space="preserve"> with any revised scheme implemented in financial year 2020/21</w:t>
      </w:r>
      <w:r w:rsidR="00C9284A" w:rsidRPr="00297868">
        <w:rPr>
          <w:rFonts w:eastAsia="Times New Roman"/>
          <w:color w:val="auto"/>
        </w:rPr>
        <w:t>.</w:t>
      </w:r>
    </w:p>
    <w:p w:rsidR="00BA6B43" w:rsidRPr="00297868" w:rsidRDefault="004A304D" w:rsidP="002D0E8A">
      <w:pPr>
        <w:keepNext/>
        <w:spacing w:after="0" w:line="240" w:lineRule="auto"/>
        <w:ind w:left="567" w:hanging="567"/>
        <w:outlineLvl w:val="0"/>
        <w:rPr>
          <w:rFonts w:eastAsia="Times New Roman"/>
          <w:b/>
          <w:color w:val="auto"/>
        </w:rPr>
      </w:pPr>
      <w:r w:rsidRPr="00297868">
        <w:rPr>
          <w:rFonts w:eastAsia="Times New Roman"/>
          <w:b/>
          <w:color w:val="auto"/>
        </w:rPr>
        <w:t xml:space="preserve">6. </w:t>
      </w:r>
      <w:r w:rsidR="002D0E8A">
        <w:rPr>
          <w:rFonts w:eastAsia="Times New Roman"/>
          <w:b/>
          <w:color w:val="auto"/>
        </w:rPr>
        <w:tab/>
      </w:r>
      <w:r w:rsidR="00BA6B43" w:rsidRPr="00297868">
        <w:rPr>
          <w:rFonts w:eastAsia="Times New Roman"/>
          <w:b/>
          <w:color w:val="auto"/>
        </w:rPr>
        <w:t xml:space="preserve">PROPOSALS </w:t>
      </w:r>
    </w:p>
    <w:p w:rsidR="00BA6B43" w:rsidRDefault="00BA6B43" w:rsidP="00BA6B43">
      <w:pPr>
        <w:keepNext/>
        <w:spacing w:after="0" w:line="240" w:lineRule="auto"/>
        <w:ind w:left="0" w:firstLine="0"/>
        <w:outlineLvl w:val="0"/>
        <w:rPr>
          <w:rFonts w:eastAsia="Times New Roman"/>
          <w:b/>
          <w:color w:val="auto"/>
        </w:rPr>
      </w:pPr>
    </w:p>
    <w:p w:rsidR="004F4D96" w:rsidRDefault="004F4D96" w:rsidP="00BA6B43">
      <w:pPr>
        <w:keepNext/>
        <w:spacing w:after="0" w:line="240" w:lineRule="auto"/>
        <w:ind w:left="0" w:firstLine="0"/>
        <w:outlineLvl w:val="0"/>
        <w:rPr>
          <w:rFonts w:eastAsia="Times New Roman"/>
          <w:b/>
          <w:color w:val="auto"/>
        </w:rPr>
      </w:pPr>
      <w:r>
        <w:rPr>
          <w:rFonts w:eastAsia="Times New Roman"/>
          <w:b/>
          <w:color w:val="auto"/>
        </w:rPr>
        <w:t>Scheme Modelling</w:t>
      </w:r>
    </w:p>
    <w:p w:rsidR="004F4D96" w:rsidRPr="00297868" w:rsidRDefault="004F4D96" w:rsidP="00BA6B43">
      <w:pPr>
        <w:keepNext/>
        <w:spacing w:after="0" w:line="240" w:lineRule="auto"/>
        <w:ind w:left="0" w:firstLine="0"/>
        <w:outlineLvl w:val="0"/>
        <w:rPr>
          <w:rFonts w:eastAsia="Times New Roman"/>
          <w:b/>
          <w:color w:val="auto"/>
        </w:rPr>
      </w:pPr>
    </w:p>
    <w:p w:rsidR="00CF5331" w:rsidRPr="00297868" w:rsidRDefault="00BA6B43" w:rsidP="00297868">
      <w:pPr>
        <w:autoSpaceDE w:val="0"/>
        <w:autoSpaceDN w:val="0"/>
        <w:adjustRightInd w:val="0"/>
        <w:spacing w:after="0" w:line="240" w:lineRule="auto"/>
        <w:ind w:left="567" w:hanging="567"/>
        <w:rPr>
          <w:rFonts w:eastAsia="Times New Roman"/>
          <w:color w:val="auto"/>
        </w:rPr>
      </w:pPr>
      <w:r w:rsidRPr="00297868">
        <w:rPr>
          <w:rFonts w:eastAsia="Century Gothic"/>
          <w:color w:val="auto"/>
        </w:rPr>
        <w:t xml:space="preserve">6.1 </w:t>
      </w:r>
      <w:r w:rsidRPr="00297868">
        <w:rPr>
          <w:rFonts w:eastAsia="Century Gothic"/>
          <w:color w:val="auto"/>
        </w:rPr>
        <w:tab/>
      </w:r>
      <w:r w:rsidR="00297868" w:rsidRPr="00297868">
        <w:rPr>
          <w:rFonts w:ascii="ArialMT" w:eastAsiaTheme="minorEastAsia" w:hAnsi="ArialMT" w:cs="ArialMT"/>
          <w:color w:val="auto"/>
        </w:rPr>
        <w:t xml:space="preserve">In July 2018, residents started to migrate onto Universal Credit (UC), as and when changes in circumstances are reported. </w:t>
      </w:r>
      <w:r w:rsidR="00CF5331" w:rsidRPr="00297868">
        <w:rPr>
          <w:rFonts w:eastAsia="Times New Roman"/>
          <w:color w:val="auto"/>
        </w:rPr>
        <w:t>The roll-out of full service UC will impact the CTS scheme. The nature of UC means that a CTS scheme will be administratively burdensome, create additional costs, potentially reduce collection rates and confuse residents. A UC award can change on a monthly basis. This will require reassessment and new billing information on a monthly basis in response even if the change to income is minimal. This will have a direct impact on work levels, staff time, postage etc. UC is still in the process of being rolled out so there is limited benchmarking data available. Anecdotal information suggests that 40% of CTS UC full service claimants currently receive between 8 and 12 bills a year. UC processing information is sent to the Local Authority every day by the Department for Work and Pensions (DWP). The changing picture due to UC can be illustrated by the increase in volumes of UC records being sent by the DWP as shown below.</w:t>
      </w:r>
      <w:r w:rsidR="00297868" w:rsidRPr="00297868">
        <w:rPr>
          <w:rFonts w:eastAsia="Times New Roman"/>
          <w:color w:val="auto"/>
        </w:rPr>
        <w:t xml:space="preserve"> </w:t>
      </w:r>
    </w:p>
    <w:p w:rsidR="00CF5331" w:rsidRPr="00297868" w:rsidRDefault="00CF5331" w:rsidP="00CF5331">
      <w:pPr>
        <w:keepNext/>
        <w:spacing w:after="0" w:line="240" w:lineRule="auto"/>
        <w:ind w:left="567" w:hanging="567"/>
        <w:outlineLvl w:val="0"/>
        <w:rPr>
          <w:rFonts w:eastAsia="Times New Roman"/>
          <w:color w:val="auto"/>
        </w:rPr>
      </w:pPr>
      <w:r w:rsidRPr="00297868">
        <w:rPr>
          <w:rFonts w:eastAsia="Times New Roman"/>
          <w:color w:val="auto"/>
        </w:rPr>
        <w:tab/>
        <w:t xml:space="preserve"> </w:t>
      </w:r>
    </w:p>
    <w:tbl>
      <w:tblPr>
        <w:tblStyle w:val="TableGrid0"/>
        <w:tblW w:w="0" w:type="auto"/>
        <w:tblInd w:w="720" w:type="dxa"/>
        <w:tblLook w:val="04A0" w:firstRow="1" w:lastRow="0" w:firstColumn="1" w:lastColumn="0" w:noHBand="0" w:noVBand="1"/>
      </w:tblPr>
      <w:tblGrid>
        <w:gridCol w:w="2036"/>
        <w:gridCol w:w="1499"/>
        <w:gridCol w:w="1873"/>
        <w:gridCol w:w="1557"/>
        <w:gridCol w:w="1557"/>
      </w:tblGrid>
      <w:tr w:rsidR="00297868" w:rsidRPr="00297868" w:rsidTr="00C9284A">
        <w:tc>
          <w:tcPr>
            <w:tcW w:w="2036" w:type="dxa"/>
          </w:tcPr>
          <w:p w:rsidR="00CF5331" w:rsidRPr="00297868" w:rsidRDefault="00CF5331" w:rsidP="004F5690">
            <w:pPr>
              <w:pStyle w:val="ListParagraph"/>
              <w:spacing w:after="0" w:line="240" w:lineRule="auto"/>
              <w:ind w:left="0" w:firstLine="0"/>
              <w:rPr>
                <w:color w:val="auto"/>
              </w:rPr>
            </w:pPr>
            <w:r w:rsidRPr="00297868">
              <w:rPr>
                <w:color w:val="auto"/>
              </w:rPr>
              <w:t>Month/year</w:t>
            </w:r>
          </w:p>
        </w:tc>
        <w:tc>
          <w:tcPr>
            <w:tcW w:w="1499" w:type="dxa"/>
          </w:tcPr>
          <w:p w:rsidR="00CF5331" w:rsidRPr="00297868" w:rsidRDefault="00CF5331" w:rsidP="004F5690">
            <w:pPr>
              <w:pStyle w:val="ListParagraph"/>
              <w:spacing w:after="0" w:line="240" w:lineRule="auto"/>
              <w:ind w:left="0" w:firstLine="0"/>
              <w:rPr>
                <w:color w:val="auto"/>
              </w:rPr>
            </w:pPr>
            <w:r w:rsidRPr="00297868">
              <w:rPr>
                <w:color w:val="auto"/>
              </w:rPr>
              <w:t>Quantity</w:t>
            </w:r>
          </w:p>
        </w:tc>
        <w:tc>
          <w:tcPr>
            <w:tcW w:w="1873" w:type="dxa"/>
          </w:tcPr>
          <w:p w:rsidR="00CF5331" w:rsidRPr="00297868" w:rsidRDefault="00CF5331" w:rsidP="004F5690">
            <w:pPr>
              <w:pStyle w:val="ListParagraph"/>
              <w:spacing w:after="0" w:line="240" w:lineRule="auto"/>
              <w:ind w:left="0" w:firstLine="0"/>
              <w:rPr>
                <w:color w:val="auto"/>
              </w:rPr>
            </w:pPr>
            <w:r w:rsidRPr="00297868">
              <w:rPr>
                <w:color w:val="auto"/>
              </w:rPr>
              <w:t>Month/year</w:t>
            </w:r>
          </w:p>
        </w:tc>
        <w:tc>
          <w:tcPr>
            <w:tcW w:w="1557" w:type="dxa"/>
          </w:tcPr>
          <w:p w:rsidR="00CF5331" w:rsidRPr="00297868" w:rsidRDefault="00CF5331" w:rsidP="004F5690">
            <w:pPr>
              <w:pStyle w:val="ListParagraph"/>
              <w:spacing w:after="0" w:line="240" w:lineRule="auto"/>
              <w:ind w:left="0" w:firstLine="0"/>
              <w:rPr>
                <w:color w:val="auto"/>
              </w:rPr>
            </w:pPr>
            <w:r w:rsidRPr="00297868">
              <w:rPr>
                <w:color w:val="auto"/>
              </w:rPr>
              <w:t>Quantity</w:t>
            </w:r>
          </w:p>
        </w:tc>
        <w:tc>
          <w:tcPr>
            <w:tcW w:w="1557" w:type="dxa"/>
          </w:tcPr>
          <w:p w:rsidR="00CF5331" w:rsidRPr="00297868" w:rsidRDefault="00CF5331" w:rsidP="004F5690">
            <w:pPr>
              <w:pStyle w:val="ListParagraph"/>
              <w:spacing w:after="0" w:line="240" w:lineRule="auto"/>
              <w:ind w:left="0" w:firstLine="0"/>
              <w:rPr>
                <w:color w:val="auto"/>
              </w:rPr>
            </w:pPr>
            <w:r w:rsidRPr="00297868">
              <w:rPr>
                <w:color w:val="auto"/>
              </w:rPr>
              <w:t>% increase</w:t>
            </w:r>
          </w:p>
        </w:tc>
      </w:tr>
      <w:tr w:rsidR="00C9284A" w:rsidRPr="00297868" w:rsidTr="00C9284A">
        <w:tc>
          <w:tcPr>
            <w:tcW w:w="2036" w:type="dxa"/>
          </w:tcPr>
          <w:p w:rsidR="00C9284A" w:rsidRPr="00C9284A" w:rsidRDefault="00C9284A" w:rsidP="00C9284A">
            <w:pPr>
              <w:pStyle w:val="ListParagraph"/>
              <w:spacing w:after="0" w:line="240" w:lineRule="auto"/>
              <w:ind w:left="0" w:firstLine="0"/>
              <w:rPr>
                <w:color w:val="auto"/>
              </w:rPr>
            </w:pPr>
            <w:r w:rsidRPr="00C9284A">
              <w:rPr>
                <w:color w:val="auto"/>
              </w:rPr>
              <w:t>October 2017</w:t>
            </w:r>
          </w:p>
        </w:tc>
        <w:tc>
          <w:tcPr>
            <w:tcW w:w="1499" w:type="dxa"/>
          </w:tcPr>
          <w:p w:rsidR="00C9284A" w:rsidRPr="00C9284A" w:rsidRDefault="00C9284A" w:rsidP="00C9284A">
            <w:pPr>
              <w:pStyle w:val="ListParagraph"/>
              <w:spacing w:after="0" w:line="240" w:lineRule="auto"/>
              <w:ind w:left="0" w:firstLine="0"/>
              <w:rPr>
                <w:color w:val="auto"/>
              </w:rPr>
            </w:pPr>
            <w:r w:rsidRPr="00C9284A">
              <w:rPr>
                <w:color w:val="auto"/>
              </w:rPr>
              <w:t>311</w:t>
            </w:r>
          </w:p>
        </w:tc>
        <w:tc>
          <w:tcPr>
            <w:tcW w:w="1873" w:type="dxa"/>
          </w:tcPr>
          <w:p w:rsidR="00C9284A" w:rsidRPr="00C9284A" w:rsidRDefault="00C9284A" w:rsidP="00C9284A">
            <w:pPr>
              <w:pStyle w:val="ListParagraph"/>
              <w:spacing w:after="0" w:line="240" w:lineRule="auto"/>
              <w:ind w:left="0" w:firstLine="0"/>
              <w:rPr>
                <w:color w:val="auto"/>
              </w:rPr>
            </w:pPr>
            <w:r w:rsidRPr="00C9284A">
              <w:rPr>
                <w:color w:val="auto"/>
              </w:rPr>
              <w:t>October 2018</w:t>
            </w:r>
          </w:p>
        </w:tc>
        <w:tc>
          <w:tcPr>
            <w:tcW w:w="1557" w:type="dxa"/>
          </w:tcPr>
          <w:p w:rsidR="00C9284A" w:rsidRPr="00C9284A" w:rsidRDefault="00C9284A" w:rsidP="00C9284A">
            <w:pPr>
              <w:pStyle w:val="ListParagraph"/>
              <w:spacing w:after="0" w:line="240" w:lineRule="auto"/>
              <w:ind w:left="0" w:firstLine="0"/>
              <w:rPr>
                <w:color w:val="auto"/>
              </w:rPr>
            </w:pPr>
            <w:r w:rsidRPr="00C9284A">
              <w:rPr>
                <w:color w:val="auto"/>
              </w:rPr>
              <w:t>1383</w:t>
            </w:r>
          </w:p>
        </w:tc>
        <w:tc>
          <w:tcPr>
            <w:tcW w:w="1557" w:type="dxa"/>
          </w:tcPr>
          <w:p w:rsidR="00C9284A" w:rsidRPr="00C9284A" w:rsidRDefault="00C9284A" w:rsidP="00C9284A">
            <w:pPr>
              <w:pStyle w:val="ListParagraph"/>
              <w:spacing w:after="0" w:line="240" w:lineRule="auto"/>
              <w:ind w:left="0" w:firstLine="0"/>
              <w:rPr>
                <w:color w:val="auto"/>
              </w:rPr>
            </w:pPr>
            <w:r w:rsidRPr="00C9284A">
              <w:rPr>
                <w:color w:val="auto"/>
              </w:rPr>
              <w:t>445%</w:t>
            </w:r>
          </w:p>
        </w:tc>
      </w:tr>
      <w:tr w:rsidR="00C9284A" w:rsidRPr="00297868" w:rsidTr="00C9284A">
        <w:tc>
          <w:tcPr>
            <w:tcW w:w="2036" w:type="dxa"/>
          </w:tcPr>
          <w:p w:rsidR="00C9284A" w:rsidRPr="00C9284A" w:rsidRDefault="00C9284A" w:rsidP="00C9284A">
            <w:pPr>
              <w:pStyle w:val="ListParagraph"/>
              <w:spacing w:after="0" w:line="240" w:lineRule="auto"/>
              <w:ind w:left="0" w:firstLine="0"/>
              <w:rPr>
                <w:color w:val="auto"/>
              </w:rPr>
            </w:pPr>
            <w:r w:rsidRPr="00C9284A">
              <w:rPr>
                <w:color w:val="auto"/>
              </w:rPr>
              <w:t>November 2017</w:t>
            </w:r>
          </w:p>
        </w:tc>
        <w:tc>
          <w:tcPr>
            <w:tcW w:w="1499" w:type="dxa"/>
          </w:tcPr>
          <w:p w:rsidR="00C9284A" w:rsidRPr="00C9284A" w:rsidRDefault="00C9284A" w:rsidP="00C9284A">
            <w:pPr>
              <w:pStyle w:val="ListParagraph"/>
              <w:spacing w:after="0" w:line="240" w:lineRule="auto"/>
              <w:ind w:left="0" w:firstLine="0"/>
              <w:rPr>
                <w:color w:val="auto"/>
              </w:rPr>
            </w:pPr>
            <w:r w:rsidRPr="00C9284A">
              <w:rPr>
                <w:color w:val="auto"/>
              </w:rPr>
              <w:t>328</w:t>
            </w:r>
          </w:p>
        </w:tc>
        <w:tc>
          <w:tcPr>
            <w:tcW w:w="1873" w:type="dxa"/>
          </w:tcPr>
          <w:p w:rsidR="00C9284A" w:rsidRPr="00C9284A" w:rsidRDefault="00C9284A" w:rsidP="00C9284A">
            <w:pPr>
              <w:pStyle w:val="ListParagraph"/>
              <w:spacing w:after="0" w:line="240" w:lineRule="auto"/>
              <w:ind w:left="0" w:firstLine="0"/>
              <w:rPr>
                <w:color w:val="auto"/>
              </w:rPr>
            </w:pPr>
            <w:r w:rsidRPr="00C9284A">
              <w:rPr>
                <w:color w:val="auto"/>
              </w:rPr>
              <w:t>November 2018</w:t>
            </w:r>
          </w:p>
        </w:tc>
        <w:tc>
          <w:tcPr>
            <w:tcW w:w="1557" w:type="dxa"/>
          </w:tcPr>
          <w:p w:rsidR="00C9284A" w:rsidRPr="00C9284A" w:rsidRDefault="00C9284A" w:rsidP="00C9284A">
            <w:pPr>
              <w:pStyle w:val="ListParagraph"/>
              <w:spacing w:after="0" w:line="240" w:lineRule="auto"/>
              <w:ind w:left="0" w:firstLine="0"/>
              <w:rPr>
                <w:color w:val="auto"/>
              </w:rPr>
            </w:pPr>
            <w:r w:rsidRPr="00C9284A">
              <w:rPr>
                <w:color w:val="auto"/>
              </w:rPr>
              <w:t>1475</w:t>
            </w:r>
          </w:p>
        </w:tc>
        <w:tc>
          <w:tcPr>
            <w:tcW w:w="1557" w:type="dxa"/>
          </w:tcPr>
          <w:p w:rsidR="00C9284A" w:rsidRPr="00C9284A" w:rsidRDefault="00C9284A" w:rsidP="00C9284A">
            <w:pPr>
              <w:pStyle w:val="ListParagraph"/>
              <w:spacing w:after="0" w:line="240" w:lineRule="auto"/>
              <w:ind w:left="0" w:firstLine="0"/>
              <w:rPr>
                <w:color w:val="auto"/>
              </w:rPr>
            </w:pPr>
            <w:r w:rsidRPr="00C9284A">
              <w:rPr>
                <w:color w:val="auto"/>
              </w:rPr>
              <w:t>450%</w:t>
            </w:r>
          </w:p>
        </w:tc>
      </w:tr>
      <w:tr w:rsidR="00C9284A" w:rsidRPr="00297868" w:rsidTr="00C9284A">
        <w:tc>
          <w:tcPr>
            <w:tcW w:w="2036" w:type="dxa"/>
          </w:tcPr>
          <w:p w:rsidR="00C9284A" w:rsidRPr="00C9284A" w:rsidRDefault="00C9284A" w:rsidP="00C9284A">
            <w:pPr>
              <w:pStyle w:val="ListParagraph"/>
              <w:spacing w:after="0" w:line="240" w:lineRule="auto"/>
              <w:ind w:left="0" w:firstLine="0"/>
              <w:rPr>
                <w:color w:val="auto"/>
              </w:rPr>
            </w:pPr>
            <w:r w:rsidRPr="00C9284A">
              <w:rPr>
                <w:color w:val="auto"/>
              </w:rPr>
              <w:t>December 2017</w:t>
            </w:r>
          </w:p>
        </w:tc>
        <w:tc>
          <w:tcPr>
            <w:tcW w:w="1499" w:type="dxa"/>
          </w:tcPr>
          <w:p w:rsidR="00C9284A" w:rsidRPr="00C9284A" w:rsidRDefault="00C9284A" w:rsidP="00C9284A">
            <w:pPr>
              <w:pStyle w:val="ListParagraph"/>
              <w:spacing w:after="0" w:line="240" w:lineRule="auto"/>
              <w:ind w:left="0" w:firstLine="0"/>
              <w:rPr>
                <w:color w:val="auto"/>
              </w:rPr>
            </w:pPr>
            <w:r w:rsidRPr="00C9284A">
              <w:rPr>
                <w:color w:val="auto"/>
              </w:rPr>
              <w:t>330</w:t>
            </w:r>
          </w:p>
        </w:tc>
        <w:tc>
          <w:tcPr>
            <w:tcW w:w="1873" w:type="dxa"/>
          </w:tcPr>
          <w:p w:rsidR="00C9284A" w:rsidRPr="00C9284A" w:rsidRDefault="00C9284A" w:rsidP="00C9284A">
            <w:pPr>
              <w:pStyle w:val="ListParagraph"/>
              <w:spacing w:after="0" w:line="240" w:lineRule="auto"/>
              <w:ind w:left="0" w:firstLine="0"/>
              <w:rPr>
                <w:color w:val="auto"/>
              </w:rPr>
            </w:pPr>
            <w:r w:rsidRPr="00C9284A">
              <w:rPr>
                <w:color w:val="auto"/>
              </w:rPr>
              <w:t>December 2018</w:t>
            </w:r>
          </w:p>
        </w:tc>
        <w:tc>
          <w:tcPr>
            <w:tcW w:w="1557" w:type="dxa"/>
          </w:tcPr>
          <w:p w:rsidR="00C9284A" w:rsidRPr="00C9284A" w:rsidRDefault="00C9284A" w:rsidP="00C9284A">
            <w:pPr>
              <w:pStyle w:val="ListParagraph"/>
              <w:spacing w:after="0" w:line="240" w:lineRule="auto"/>
              <w:ind w:left="0" w:firstLine="0"/>
              <w:rPr>
                <w:color w:val="auto"/>
              </w:rPr>
            </w:pPr>
            <w:r w:rsidRPr="00C9284A">
              <w:rPr>
                <w:color w:val="auto"/>
              </w:rPr>
              <w:t>1180</w:t>
            </w:r>
          </w:p>
        </w:tc>
        <w:tc>
          <w:tcPr>
            <w:tcW w:w="1557" w:type="dxa"/>
          </w:tcPr>
          <w:p w:rsidR="00C9284A" w:rsidRPr="00C9284A" w:rsidRDefault="00C9284A" w:rsidP="00C9284A">
            <w:pPr>
              <w:pStyle w:val="ListParagraph"/>
              <w:spacing w:after="0" w:line="240" w:lineRule="auto"/>
              <w:ind w:left="0" w:firstLine="0"/>
              <w:rPr>
                <w:color w:val="auto"/>
              </w:rPr>
            </w:pPr>
            <w:r w:rsidRPr="00C9284A">
              <w:rPr>
                <w:color w:val="auto"/>
              </w:rPr>
              <w:t>358%</w:t>
            </w:r>
          </w:p>
        </w:tc>
      </w:tr>
    </w:tbl>
    <w:p w:rsidR="00A30CF4" w:rsidRDefault="00A30CF4" w:rsidP="00297868">
      <w:pPr>
        <w:keepNext/>
        <w:spacing w:after="0" w:line="240" w:lineRule="auto"/>
        <w:ind w:left="567" w:firstLine="0"/>
        <w:outlineLvl w:val="0"/>
        <w:rPr>
          <w:rFonts w:ascii="ArialMT" w:eastAsiaTheme="minorEastAsia" w:hAnsi="ArialMT" w:cs="ArialMT"/>
          <w:color w:val="auto"/>
        </w:rPr>
      </w:pPr>
    </w:p>
    <w:p w:rsidR="00EA4017" w:rsidRDefault="00EA4017" w:rsidP="00BA6B43">
      <w:pPr>
        <w:keepNext/>
        <w:spacing w:after="0" w:line="240" w:lineRule="auto"/>
        <w:ind w:left="567" w:hanging="567"/>
        <w:outlineLvl w:val="0"/>
        <w:rPr>
          <w:rFonts w:eastAsia="Times New Roman"/>
          <w:color w:val="FF0000"/>
        </w:rPr>
      </w:pPr>
    </w:p>
    <w:p w:rsidR="00E22DAB" w:rsidRDefault="00EA4017" w:rsidP="001E1661">
      <w:pPr>
        <w:pStyle w:val="Default"/>
        <w:ind w:left="567" w:hanging="567"/>
        <w:rPr>
          <w:rFonts w:eastAsia="Times New Roman"/>
          <w:sz w:val="22"/>
          <w:szCs w:val="22"/>
        </w:rPr>
      </w:pPr>
      <w:r w:rsidRPr="00123494">
        <w:rPr>
          <w:rFonts w:eastAsia="Times New Roman"/>
          <w:color w:val="auto"/>
        </w:rPr>
        <w:t>6.2</w:t>
      </w:r>
      <w:r w:rsidRPr="00123494">
        <w:rPr>
          <w:rFonts w:eastAsia="Times New Roman"/>
          <w:color w:val="auto"/>
        </w:rPr>
        <w:tab/>
      </w:r>
      <w:r w:rsidRPr="00123494">
        <w:rPr>
          <w:rFonts w:eastAsia="Times New Roman"/>
          <w:color w:val="auto"/>
          <w:sz w:val="22"/>
          <w:szCs w:val="22"/>
        </w:rPr>
        <w:t>On the 29</w:t>
      </w:r>
      <w:r w:rsidRPr="00123494">
        <w:rPr>
          <w:rFonts w:eastAsia="Times New Roman"/>
          <w:color w:val="auto"/>
          <w:sz w:val="22"/>
          <w:szCs w:val="22"/>
          <w:vertAlign w:val="superscript"/>
        </w:rPr>
        <w:t>th</w:t>
      </w:r>
      <w:r w:rsidRPr="00123494">
        <w:rPr>
          <w:rFonts w:eastAsia="Times New Roman"/>
          <w:color w:val="auto"/>
          <w:sz w:val="22"/>
          <w:szCs w:val="22"/>
        </w:rPr>
        <w:t xml:space="preserve"> October </w:t>
      </w:r>
      <w:r w:rsidR="00123494" w:rsidRPr="00123494">
        <w:rPr>
          <w:rFonts w:eastAsia="Times New Roman"/>
          <w:color w:val="auto"/>
          <w:sz w:val="22"/>
          <w:szCs w:val="22"/>
        </w:rPr>
        <w:t xml:space="preserve">2018 </w:t>
      </w:r>
      <w:r w:rsidRPr="00123494">
        <w:rPr>
          <w:rFonts w:eastAsia="Times New Roman"/>
          <w:color w:val="auto"/>
          <w:sz w:val="22"/>
          <w:szCs w:val="22"/>
        </w:rPr>
        <w:t>the Chancellor delivered the 2018 Budget. Within the announcement the Chancellor indicated a number of changes to UC.</w:t>
      </w:r>
      <w:r w:rsidR="00123494" w:rsidRPr="00123494">
        <w:rPr>
          <w:rFonts w:eastAsia="Times New Roman"/>
          <w:color w:val="auto"/>
          <w:sz w:val="22"/>
          <w:szCs w:val="22"/>
        </w:rPr>
        <w:t xml:space="preserve"> </w:t>
      </w:r>
      <w:r w:rsidRPr="00123494">
        <w:rPr>
          <w:rFonts w:eastAsia="Times New Roman"/>
          <w:color w:val="auto"/>
          <w:sz w:val="22"/>
          <w:szCs w:val="22"/>
        </w:rPr>
        <w:t xml:space="preserve">These included changes to the </w:t>
      </w:r>
      <w:r w:rsidRPr="00123494">
        <w:rPr>
          <w:color w:val="auto"/>
          <w:sz w:val="22"/>
          <w:szCs w:val="22"/>
        </w:rPr>
        <w:t>amount that households with children, and people with disabilities can earn before their Universal Credit award begins to be withdrawn</w:t>
      </w:r>
      <w:r w:rsidR="00123494" w:rsidRPr="00123494">
        <w:rPr>
          <w:color w:val="auto"/>
          <w:sz w:val="22"/>
          <w:szCs w:val="22"/>
        </w:rPr>
        <w:t xml:space="preserve">, </w:t>
      </w:r>
      <w:r w:rsidRPr="00123494">
        <w:rPr>
          <w:color w:val="auto"/>
          <w:sz w:val="22"/>
          <w:szCs w:val="22"/>
        </w:rPr>
        <w:t xml:space="preserve">the Work Allowance will be increased by £1,000 from April 2019. This means that 2.4 million households will keep an extra £630 of income each year. The Government </w:t>
      </w:r>
      <w:r w:rsidR="00123494" w:rsidRPr="00123494">
        <w:rPr>
          <w:color w:val="auto"/>
          <w:sz w:val="22"/>
          <w:szCs w:val="22"/>
        </w:rPr>
        <w:t xml:space="preserve">also </w:t>
      </w:r>
      <w:r w:rsidRPr="00123494">
        <w:rPr>
          <w:color w:val="auto"/>
          <w:sz w:val="22"/>
          <w:szCs w:val="22"/>
        </w:rPr>
        <w:t xml:space="preserve">announced an extensive package of extra support for claimants as they make the transition to Universal Credit. </w:t>
      </w:r>
      <w:r w:rsidR="00123494" w:rsidRPr="00123494">
        <w:rPr>
          <w:rFonts w:eastAsia="Times New Roman"/>
          <w:sz w:val="22"/>
          <w:szCs w:val="22"/>
        </w:rPr>
        <w:t>The Secretary of State for Social Security has announced a further delay in the migration of Housing Benefit to Universal Credit.</w:t>
      </w:r>
      <w:r w:rsidR="00123494">
        <w:rPr>
          <w:rFonts w:eastAsia="Times New Roman"/>
          <w:sz w:val="22"/>
          <w:szCs w:val="22"/>
        </w:rPr>
        <w:t xml:space="preserve"> </w:t>
      </w:r>
    </w:p>
    <w:p w:rsidR="00A67100" w:rsidRDefault="00A67100" w:rsidP="001E1661">
      <w:pPr>
        <w:pStyle w:val="Default"/>
        <w:ind w:left="567" w:hanging="567"/>
        <w:rPr>
          <w:rFonts w:eastAsia="Times New Roman"/>
          <w:sz w:val="22"/>
          <w:szCs w:val="22"/>
        </w:rPr>
      </w:pPr>
    </w:p>
    <w:p w:rsidR="001E3FA8" w:rsidRPr="00523D63" w:rsidRDefault="00A67100" w:rsidP="001E3FA8">
      <w:pPr>
        <w:pStyle w:val="Default"/>
        <w:ind w:left="567" w:hanging="567"/>
        <w:rPr>
          <w:rFonts w:eastAsia="Times New Roman"/>
          <w:color w:val="auto"/>
          <w:sz w:val="22"/>
          <w:szCs w:val="22"/>
        </w:rPr>
      </w:pPr>
      <w:r>
        <w:rPr>
          <w:rFonts w:eastAsia="Times New Roman"/>
          <w:sz w:val="22"/>
          <w:szCs w:val="22"/>
        </w:rPr>
        <w:t>6.3</w:t>
      </w:r>
      <w:r>
        <w:rPr>
          <w:rFonts w:eastAsia="Times New Roman"/>
          <w:sz w:val="22"/>
          <w:szCs w:val="22"/>
        </w:rPr>
        <w:tab/>
      </w:r>
      <w:r w:rsidR="00241348">
        <w:rPr>
          <w:rFonts w:eastAsia="Times New Roman"/>
          <w:sz w:val="22"/>
          <w:szCs w:val="22"/>
        </w:rPr>
        <w:t xml:space="preserve">Following the above budget announcements and the need to review the potential impact of these changes in relation to any local scheme that might be implemented, we commissioned further remodelling of the current scheme and alternative scheme options. </w:t>
      </w:r>
      <w:r w:rsidR="001E3FA8">
        <w:rPr>
          <w:rFonts w:eastAsia="Times New Roman"/>
          <w:sz w:val="22"/>
          <w:szCs w:val="22"/>
        </w:rPr>
        <w:t>Full details are as</w:t>
      </w:r>
      <w:r w:rsidR="001E3FA8">
        <w:rPr>
          <w:rFonts w:eastAsia="Times New Roman"/>
          <w:color w:val="auto"/>
        </w:rPr>
        <w:t xml:space="preserve"> </w:t>
      </w:r>
      <w:r w:rsidR="001E3FA8" w:rsidRPr="00523D63">
        <w:rPr>
          <w:rFonts w:eastAsia="Times New Roman"/>
          <w:color w:val="auto"/>
          <w:sz w:val="22"/>
          <w:szCs w:val="22"/>
        </w:rPr>
        <w:t xml:space="preserve">outlined in </w:t>
      </w:r>
      <w:r w:rsidR="001E3FA8" w:rsidRPr="00523D63">
        <w:rPr>
          <w:rFonts w:eastAsia="Times New Roman"/>
          <w:b/>
          <w:color w:val="auto"/>
          <w:sz w:val="22"/>
          <w:szCs w:val="22"/>
        </w:rPr>
        <w:t>Appendix 1</w:t>
      </w:r>
      <w:r w:rsidR="001E3FA8" w:rsidRPr="00523D63">
        <w:rPr>
          <w:rFonts w:eastAsia="Times New Roman"/>
          <w:color w:val="auto"/>
          <w:sz w:val="22"/>
          <w:szCs w:val="22"/>
        </w:rPr>
        <w:t xml:space="preserve"> to this report. The rationale behind the analysis is to identify CTS scheme options, and consult upon the adoption of the said options. It is also noted that any new scheme should address member dissatisfaction with the elements of the current scheme, and the potential administrative burden due to the rollout of Universal Credit. </w:t>
      </w:r>
    </w:p>
    <w:p w:rsidR="00A95A48" w:rsidRDefault="00523D63" w:rsidP="00523D63">
      <w:pPr>
        <w:pStyle w:val="Default"/>
        <w:ind w:left="567" w:hanging="567"/>
        <w:rPr>
          <w:rFonts w:eastAsia="Times New Roman"/>
          <w:sz w:val="22"/>
          <w:szCs w:val="22"/>
        </w:rPr>
      </w:pPr>
      <w:r>
        <w:rPr>
          <w:rFonts w:eastAsia="Times New Roman"/>
          <w:sz w:val="22"/>
          <w:szCs w:val="22"/>
        </w:rPr>
        <w:tab/>
      </w:r>
    </w:p>
    <w:p w:rsidR="00523D63" w:rsidRPr="00523D63" w:rsidRDefault="00A95A48" w:rsidP="00A95A48">
      <w:pPr>
        <w:pStyle w:val="Default"/>
        <w:ind w:left="567" w:hanging="567"/>
        <w:rPr>
          <w:rFonts w:eastAsia="Times New Roman"/>
          <w:color w:val="auto"/>
          <w:sz w:val="22"/>
          <w:szCs w:val="22"/>
        </w:rPr>
      </w:pPr>
      <w:r>
        <w:rPr>
          <w:rFonts w:eastAsia="Times New Roman"/>
          <w:sz w:val="22"/>
          <w:szCs w:val="22"/>
        </w:rPr>
        <w:t>6.4</w:t>
      </w:r>
      <w:r>
        <w:rPr>
          <w:rFonts w:eastAsia="Times New Roman"/>
          <w:sz w:val="22"/>
          <w:szCs w:val="22"/>
        </w:rPr>
        <w:tab/>
      </w:r>
      <w:r w:rsidR="00523D63">
        <w:rPr>
          <w:rFonts w:eastAsia="Times New Roman"/>
          <w:sz w:val="22"/>
          <w:szCs w:val="22"/>
        </w:rPr>
        <w:t>The current scheme and alternative options are highlighted below</w:t>
      </w:r>
      <w:r>
        <w:rPr>
          <w:rFonts w:eastAsia="Times New Roman"/>
          <w:sz w:val="22"/>
          <w:szCs w:val="22"/>
        </w:rPr>
        <w:t xml:space="preserve">: </w:t>
      </w:r>
    </w:p>
    <w:p w:rsidR="00523D63" w:rsidRPr="00523D63" w:rsidRDefault="00523D63" w:rsidP="001E1661">
      <w:pPr>
        <w:pStyle w:val="Default"/>
        <w:ind w:left="567" w:hanging="567"/>
        <w:rPr>
          <w:rFonts w:eastAsia="Times New Roman"/>
          <w:sz w:val="22"/>
          <w:szCs w:val="22"/>
        </w:rPr>
      </w:pPr>
    </w:p>
    <w:p w:rsidR="00241348" w:rsidRDefault="00241348" w:rsidP="00523D63">
      <w:pPr>
        <w:pStyle w:val="Default"/>
        <w:ind w:left="567"/>
        <w:rPr>
          <w:rFonts w:eastAsia="Times New Roman"/>
          <w:sz w:val="22"/>
          <w:szCs w:val="22"/>
        </w:rPr>
      </w:pPr>
      <w:r>
        <w:rPr>
          <w:rFonts w:eastAsia="Times New Roman"/>
          <w:sz w:val="22"/>
          <w:szCs w:val="22"/>
        </w:rPr>
        <w:t>Option 1: Maintaining the current scheme with £3.50 per week minimum payment.</w:t>
      </w:r>
    </w:p>
    <w:p w:rsidR="009D5C9F" w:rsidRDefault="009D5C9F" w:rsidP="009D5C9F">
      <w:pPr>
        <w:pStyle w:val="Default"/>
        <w:numPr>
          <w:ilvl w:val="0"/>
          <w:numId w:val="22"/>
        </w:numPr>
        <w:rPr>
          <w:rFonts w:eastAsia="Times New Roman"/>
          <w:sz w:val="22"/>
          <w:szCs w:val="22"/>
        </w:rPr>
      </w:pPr>
      <w:r>
        <w:rPr>
          <w:rFonts w:eastAsia="Times New Roman"/>
          <w:sz w:val="22"/>
          <w:szCs w:val="22"/>
        </w:rPr>
        <w:lastRenderedPageBreak/>
        <w:t>Intended to be revenue neutral</w:t>
      </w:r>
    </w:p>
    <w:p w:rsidR="009D5C9F" w:rsidRDefault="009D5C9F" w:rsidP="009D5C9F">
      <w:pPr>
        <w:pStyle w:val="Default"/>
        <w:numPr>
          <w:ilvl w:val="0"/>
          <w:numId w:val="22"/>
        </w:numPr>
        <w:rPr>
          <w:rFonts w:eastAsia="Times New Roman"/>
          <w:sz w:val="22"/>
          <w:szCs w:val="22"/>
        </w:rPr>
      </w:pPr>
      <w:r>
        <w:rPr>
          <w:rFonts w:eastAsia="Times New Roman"/>
          <w:sz w:val="22"/>
          <w:szCs w:val="22"/>
        </w:rPr>
        <w:t>Would not address the administrative burdens of UC</w:t>
      </w:r>
    </w:p>
    <w:p w:rsidR="009D5C9F" w:rsidRDefault="009D5C9F" w:rsidP="009D5C9F">
      <w:pPr>
        <w:pStyle w:val="Default"/>
        <w:numPr>
          <w:ilvl w:val="0"/>
          <w:numId w:val="22"/>
        </w:numPr>
        <w:rPr>
          <w:rFonts w:eastAsia="Times New Roman"/>
          <w:sz w:val="22"/>
          <w:szCs w:val="22"/>
        </w:rPr>
      </w:pPr>
      <w:r>
        <w:rPr>
          <w:rFonts w:eastAsia="Times New Roman"/>
          <w:sz w:val="22"/>
          <w:szCs w:val="22"/>
        </w:rPr>
        <w:t xml:space="preserve">Would not address Member concerns regarding a minimum payment for all </w:t>
      </w:r>
    </w:p>
    <w:p w:rsidR="009D5C9F" w:rsidRDefault="009D5C9F" w:rsidP="009D5C9F">
      <w:pPr>
        <w:pStyle w:val="Default"/>
        <w:ind w:left="1287"/>
        <w:rPr>
          <w:rFonts w:eastAsia="Times New Roman"/>
          <w:sz w:val="22"/>
          <w:szCs w:val="22"/>
        </w:rPr>
      </w:pPr>
    </w:p>
    <w:p w:rsidR="00523D63" w:rsidRDefault="00523D63" w:rsidP="00523D63">
      <w:pPr>
        <w:pStyle w:val="Default"/>
        <w:ind w:left="567"/>
        <w:rPr>
          <w:rFonts w:eastAsia="Times New Roman"/>
          <w:sz w:val="22"/>
          <w:szCs w:val="22"/>
        </w:rPr>
      </w:pPr>
      <w:r>
        <w:rPr>
          <w:rFonts w:eastAsia="Times New Roman"/>
          <w:sz w:val="22"/>
          <w:szCs w:val="22"/>
        </w:rPr>
        <w:t>Option 2: Income Banded scheme with 100% maximum support (for lowest income band)</w:t>
      </w:r>
    </w:p>
    <w:p w:rsidR="009D5C9F" w:rsidRDefault="009D5C9F" w:rsidP="009D5C9F">
      <w:pPr>
        <w:pStyle w:val="Default"/>
        <w:numPr>
          <w:ilvl w:val="0"/>
          <w:numId w:val="23"/>
        </w:numPr>
        <w:rPr>
          <w:rFonts w:eastAsia="Times New Roman"/>
          <w:sz w:val="22"/>
          <w:szCs w:val="22"/>
        </w:rPr>
      </w:pPr>
      <w:r>
        <w:rPr>
          <w:rFonts w:eastAsia="Times New Roman"/>
          <w:sz w:val="22"/>
          <w:szCs w:val="22"/>
        </w:rPr>
        <w:t xml:space="preserve">Would </w:t>
      </w:r>
      <w:r w:rsidR="009929F6">
        <w:rPr>
          <w:rFonts w:eastAsia="Times New Roman"/>
          <w:sz w:val="22"/>
          <w:szCs w:val="22"/>
        </w:rPr>
        <w:t>not be revenue neutral</w:t>
      </w:r>
    </w:p>
    <w:p w:rsidR="009D5C9F" w:rsidRDefault="009D5C9F" w:rsidP="009D5C9F">
      <w:pPr>
        <w:pStyle w:val="Default"/>
        <w:numPr>
          <w:ilvl w:val="0"/>
          <w:numId w:val="23"/>
        </w:numPr>
        <w:rPr>
          <w:rFonts w:eastAsia="Times New Roman"/>
          <w:sz w:val="22"/>
          <w:szCs w:val="22"/>
        </w:rPr>
      </w:pPr>
      <w:r>
        <w:rPr>
          <w:rFonts w:eastAsia="Times New Roman"/>
          <w:sz w:val="22"/>
          <w:szCs w:val="22"/>
        </w:rPr>
        <w:t>Would have the potential to address administrative burdens</w:t>
      </w:r>
    </w:p>
    <w:p w:rsidR="009D5C9F" w:rsidRDefault="009D5C9F" w:rsidP="009D5C9F">
      <w:pPr>
        <w:pStyle w:val="Default"/>
        <w:numPr>
          <w:ilvl w:val="0"/>
          <w:numId w:val="23"/>
        </w:numPr>
        <w:rPr>
          <w:rFonts w:eastAsia="Times New Roman"/>
          <w:sz w:val="22"/>
          <w:szCs w:val="22"/>
        </w:rPr>
      </w:pPr>
      <w:r>
        <w:rPr>
          <w:rFonts w:eastAsia="Times New Roman"/>
          <w:sz w:val="22"/>
          <w:szCs w:val="22"/>
        </w:rPr>
        <w:t>Would address Member concerns regarding a minimum payment</w:t>
      </w:r>
    </w:p>
    <w:p w:rsidR="009D5C9F" w:rsidRDefault="009D5C9F" w:rsidP="009D5C9F">
      <w:pPr>
        <w:pStyle w:val="Default"/>
        <w:ind w:left="1287"/>
        <w:rPr>
          <w:rFonts w:eastAsia="Times New Roman"/>
          <w:sz w:val="22"/>
          <w:szCs w:val="22"/>
        </w:rPr>
      </w:pPr>
    </w:p>
    <w:p w:rsidR="00523D63" w:rsidRDefault="00523D63" w:rsidP="00523D63">
      <w:pPr>
        <w:pStyle w:val="Default"/>
        <w:ind w:left="567"/>
        <w:rPr>
          <w:rFonts w:eastAsia="Times New Roman"/>
          <w:sz w:val="22"/>
          <w:szCs w:val="22"/>
        </w:rPr>
      </w:pPr>
      <w:r>
        <w:rPr>
          <w:rFonts w:eastAsia="Times New Roman"/>
          <w:sz w:val="22"/>
          <w:szCs w:val="22"/>
        </w:rPr>
        <w:t>Option 3: Current scheme with no minimum payment (removal of £3.50 charge)</w:t>
      </w:r>
    </w:p>
    <w:p w:rsidR="009D5C9F" w:rsidRDefault="009D5C9F" w:rsidP="009D5C9F">
      <w:pPr>
        <w:pStyle w:val="Default"/>
        <w:numPr>
          <w:ilvl w:val="0"/>
          <w:numId w:val="23"/>
        </w:numPr>
        <w:rPr>
          <w:rFonts w:eastAsia="Times New Roman"/>
          <w:sz w:val="22"/>
          <w:szCs w:val="22"/>
        </w:rPr>
      </w:pPr>
      <w:r>
        <w:rPr>
          <w:rFonts w:eastAsia="Times New Roman"/>
          <w:sz w:val="22"/>
          <w:szCs w:val="22"/>
        </w:rPr>
        <w:t xml:space="preserve">Would </w:t>
      </w:r>
      <w:r w:rsidR="009929F6">
        <w:rPr>
          <w:rFonts w:eastAsia="Times New Roman"/>
          <w:sz w:val="22"/>
          <w:szCs w:val="22"/>
        </w:rPr>
        <w:t>not be revenue neutral</w:t>
      </w:r>
    </w:p>
    <w:p w:rsidR="009D5C9F" w:rsidRDefault="009D5C9F" w:rsidP="009D5C9F">
      <w:pPr>
        <w:pStyle w:val="Default"/>
        <w:numPr>
          <w:ilvl w:val="0"/>
          <w:numId w:val="23"/>
        </w:numPr>
        <w:rPr>
          <w:rFonts w:eastAsia="Times New Roman"/>
          <w:sz w:val="22"/>
          <w:szCs w:val="22"/>
        </w:rPr>
      </w:pPr>
      <w:r>
        <w:rPr>
          <w:rFonts w:eastAsia="Times New Roman"/>
          <w:sz w:val="22"/>
          <w:szCs w:val="22"/>
        </w:rPr>
        <w:t>Would not address administrative burdens of UC</w:t>
      </w:r>
    </w:p>
    <w:p w:rsidR="009D5C9F" w:rsidRDefault="009D5C9F" w:rsidP="009D5C9F">
      <w:pPr>
        <w:pStyle w:val="Default"/>
        <w:numPr>
          <w:ilvl w:val="0"/>
          <w:numId w:val="23"/>
        </w:numPr>
        <w:rPr>
          <w:rFonts w:eastAsia="Times New Roman"/>
          <w:sz w:val="22"/>
          <w:szCs w:val="22"/>
        </w:rPr>
      </w:pPr>
      <w:r>
        <w:rPr>
          <w:rFonts w:eastAsia="Times New Roman"/>
          <w:sz w:val="22"/>
          <w:szCs w:val="22"/>
        </w:rPr>
        <w:t>Would address Member concerns regarding a minimum payment</w:t>
      </w:r>
    </w:p>
    <w:p w:rsidR="009D5C9F" w:rsidRDefault="009D5C9F" w:rsidP="00523D63">
      <w:pPr>
        <w:pStyle w:val="Default"/>
        <w:ind w:left="567"/>
        <w:rPr>
          <w:rFonts w:eastAsia="Times New Roman"/>
          <w:sz w:val="22"/>
          <w:szCs w:val="22"/>
        </w:rPr>
      </w:pPr>
    </w:p>
    <w:p w:rsidR="00523D63" w:rsidRDefault="00523D63" w:rsidP="00523D63">
      <w:pPr>
        <w:pStyle w:val="Default"/>
        <w:ind w:left="567"/>
        <w:rPr>
          <w:rFonts w:eastAsia="Times New Roman"/>
          <w:sz w:val="22"/>
          <w:szCs w:val="22"/>
        </w:rPr>
      </w:pPr>
      <w:r>
        <w:rPr>
          <w:rFonts w:eastAsia="Times New Roman"/>
          <w:sz w:val="22"/>
          <w:szCs w:val="22"/>
        </w:rPr>
        <w:t>Option 4: Prior to remodelling the income banded scheme had been designed and modelled with maximum 85% support for the lowest income band.</w:t>
      </w:r>
    </w:p>
    <w:p w:rsidR="009D5C9F" w:rsidRDefault="009D5C9F" w:rsidP="009D5C9F">
      <w:pPr>
        <w:pStyle w:val="Default"/>
        <w:numPr>
          <w:ilvl w:val="0"/>
          <w:numId w:val="22"/>
        </w:numPr>
        <w:rPr>
          <w:rFonts w:eastAsia="Times New Roman"/>
          <w:sz w:val="22"/>
          <w:szCs w:val="22"/>
        </w:rPr>
      </w:pPr>
      <w:r>
        <w:rPr>
          <w:rFonts w:eastAsia="Times New Roman"/>
          <w:sz w:val="22"/>
          <w:szCs w:val="22"/>
        </w:rPr>
        <w:t>Was intended to be revenue neutral</w:t>
      </w:r>
    </w:p>
    <w:p w:rsidR="009D5C9F" w:rsidRDefault="009D5C9F" w:rsidP="009D5C9F">
      <w:pPr>
        <w:pStyle w:val="Default"/>
        <w:numPr>
          <w:ilvl w:val="0"/>
          <w:numId w:val="22"/>
        </w:numPr>
        <w:rPr>
          <w:rFonts w:eastAsia="Times New Roman"/>
          <w:sz w:val="22"/>
          <w:szCs w:val="22"/>
        </w:rPr>
      </w:pPr>
      <w:r>
        <w:rPr>
          <w:rFonts w:eastAsia="Times New Roman"/>
          <w:sz w:val="22"/>
          <w:szCs w:val="22"/>
        </w:rPr>
        <w:t>Would have the potential to address the administrative burdens of UC</w:t>
      </w:r>
    </w:p>
    <w:p w:rsidR="006555FF" w:rsidRDefault="009D5C9F" w:rsidP="009D5C9F">
      <w:pPr>
        <w:pStyle w:val="Default"/>
        <w:numPr>
          <w:ilvl w:val="0"/>
          <w:numId w:val="22"/>
        </w:numPr>
        <w:rPr>
          <w:rFonts w:eastAsia="Times New Roman"/>
          <w:sz w:val="22"/>
          <w:szCs w:val="22"/>
        </w:rPr>
      </w:pPr>
      <w:r>
        <w:rPr>
          <w:rFonts w:eastAsia="Times New Roman"/>
          <w:sz w:val="22"/>
          <w:szCs w:val="22"/>
        </w:rPr>
        <w:t xml:space="preserve">Would </w:t>
      </w:r>
      <w:r w:rsidR="004A0A15">
        <w:rPr>
          <w:rFonts w:eastAsia="Times New Roman"/>
          <w:sz w:val="22"/>
          <w:szCs w:val="22"/>
        </w:rPr>
        <w:t>partially</w:t>
      </w:r>
      <w:r>
        <w:rPr>
          <w:rFonts w:eastAsia="Times New Roman"/>
          <w:sz w:val="22"/>
          <w:szCs w:val="22"/>
        </w:rPr>
        <w:t xml:space="preserve"> address Member concerns regarding a charge</w:t>
      </w:r>
    </w:p>
    <w:p w:rsidR="009D5C9F" w:rsidRDefault="009D5C9F" w:rsidP="00523D63">
      <w:pPr>
        <w:pStyle w:val="Default"/>
        <w:ind w:left="567"/>
        <w:rPr>
          <w:rFonts w:eastAsia="Times New Roman"/>
          <w:sz w:val="22"/>
          <w:szCs w:val="22"/>
        </w:rPr>
      </w:pPr>
    </w:p>
    <w:p w:rsidR="00A95A48" w:rsidRDefault="004F4D96" w:rsidP="004F4D96">
      <w:pPr>
        <w:pStyle w:val="Default"/>
        <w:rPr>
          <w:rFonts w:eastAsia="Times New Roman"/>
          <w:b/>
          <w:sz w:val="22"/>
          <w:szCs w:val="22"/>
        </w:rPr>
      </w:pPr>
      <w:r w:rsidRPr="004F4D96">
        <w:rPr>
          <w:rFonts w:eastAsia="Times New Roman"/>
          <w:b/>
          <w:sz w:val="22"/>
          <w:szCs w:val="22"/>
        </w:rPr>
        <w:t>Hardship Funds</w:t>
      </w:r>
      <w:r w:rsidR="00241348" w:rsidRPr="004F4D96">
        <w:rPr>
          <w:rFonts w:eastAsia="Times New Roman"/>
          <w:b/>
          <w:sz w:val="22"/>
          <w:szCs w:val="22"/>
        </w:rPr>
        <w:tab/>
      </w:r>
    </w:p>
    <w:p w:rsidR="004F4D96" w:rsidRPr="004F4D96" w:rsidRDefault="004F4D96" w:rsidP="004F4D96">
      <w:pPr>
        <w:pStyle w:val="Default"/>
        <w:rPr>
          <w:rFonts w:eastAsia="Times New Roman"/>
          <w:b/>
          <w:color w:val="auto"/>
          <w:sz w:val="22"/>
          <w:szCs w:val="22"/>
        </w:rPr>
      </w:pPr>
    </w:p>
    <w:p w:rsidR="001E1661" w:rsidRPr="00297868" w:rsidRDefault="001E1661" w:rsidP="001E1661">
      <w:pPr>
        <w:keepNext/>
        <w:spacing w:after="0" w:line="240" w:lineRule="auto"/>
        <w:ind w:left="567" w:hanging="567"/>
        <w:outlineLvl w:val="0"/>
        <w:rPr>
          <w:rFonts w:eastAsia="Times New Roman"/>
          <w:color w:val="auto"/>
        </w:rPr>
      </w:pPr>
      <w:r>
        <w:rPr>
          <w:rFonts w:eastAsia="Times New Roman"/>
          <w:color w:val="auto"/>
        </w:rPr>
        <w:t>6.</w:t>
      </w:r>
      <w:r w:rsidR="00CC0A50">
        <w:rPr>
          <w:rFonts w:eastAsia="Times New Roman"/>
          <w:color w:val="auto"/>
        </w:rPr>
        <w:t>5</w:t>
      </w:r>
      <w:r w:rsidR="004F5690">
        <w:rPr>
          <w:rFonts w:eastAsia="Times New Roman"/>
          <w:color w:val="auto"/>
        </w:rPr>
        <w:t xml:space="preserve">  </w:t>
      </w:r>
      <w:r>
        <w:rPr>
          <w:rFonts w:eastAsia="Times New Roman"/>
          <w:color w:val="auto"/>
        </w:rPr>
        <w:t xml:space="preserve"> </w:t>
      </w:r>
      <w:r w:rsidRPr="00297868">
        <w:rPr>
          <w:rFonts w:eastAsia="Times New Roman"/>
          <w:color w:val="auto"/>
        </w:rPr>
        <w:t xml:space="preserve">To offer additional support to those who find themselves in hardship the authority is able to offer a number of additional measures. </w:t>
      </w:r>
    </w:p>
    <w:p w:rsidR="001E1661" w:rsidRPr="00297868" w:rsidRDefault="001E1661" w:rsidP="001E1661">
      <w:pPr>
        <w:keepNext/>
        <w:spacing w:after="0" w:line="240" w:lineRule="auto"/>
        <w:ind w:left="567" w:firstLine="0"/>
        <w:outlineLvl w:val="0"/>
        <w:rPr>
          <w:rFonts w:eastAsia="Times New Roman"/>
          <w:color w:val="auto"/>
        </w:rPr>
      </w:pPr>
    </w:p>
    <w:p w:rsidR="004834C2" w:rsidRPr="004834C2" w:rsidRDefault="001E1661" w:rsidP="001E1661">
      <w:pPr>
        <w:numPr>
          <w:ilvl w:val="0"/>
          <w:numId w:val="1"/>
        </w:numPr>
        <w:spacing w:after="0" w:line="265" w:lineRule="auto"/>
        <w:ind w:hanging="360"/>
        <w:rPr>
          <w:color w:val="auto"/>
        </w:rPr>
      </w:pPr>
      <w:r w:rsidRPr="005752DE">
        <w:rPr>
          <w:rFonts w:eastAsia="Calibri"/>
          <w:color w:val="auto"/>
          <w:u w:val="single" w:color="000000"/>
        </w:rPr>
        <w:t>Discretionary Housing Payments</w:t>
      </w:r>
      <w:r w:rsidR="00A80C32" w:rsidRPr="005752DE">
        <w:rPr>
          <w:rFonts w:eastAsia="Calibri"/>
          <w:color w:val="auto"/>
          <w:u w:val="single" w:color="000000"/>
        </w:rPr>
        <w:t xml:space="preserve"> (DHP’s)</w:t>
      </w:r>
      <w:r w:rsidRPr="005752DE">
        <w:rPr>
          <w:rFonts w:eastAsia="Calibri"/>
          <w:color w:val="auto"/>
        </w:rPr>
        <w:t xml:space="preserve">:  </w:t>
      </w:r>
      <w:r w:rsidRPr="005752DE">
        <w:rPr>
          <w:rFonts w:eastAsia="Calibri"/>
          <w:color w:val="auto"/>
        </w:rPr>
        <w:tab/>
      </w:r>
    </w:p>
    <w:p w:rsidR="004834C2" w:rsidRDefault="001E1661" w:rsidP="004834C2">
      <w:pPr>
        <w:spacing w:after="0" w:line="265" w:lineRule="auto"/>
        <w:ind w:left="979" w:firstLine="0"/>
        <w:rPr>
          <w:color w:val="auto"/>
        </w:rPr>
      </w:pPr>
      <w:r w:rsidRPr="005752DE">
        <w:rPr>
          <w:rFonts w:eastAsia="Calibri"/>
          <w:color w:val="auto"/>
        </w:rPr>
        <w:t>The Discretionary Housing Payment can provide assistance with rent costs</w:t>
      </w:r>
      <w:r w:rsidR="00A80C32" w:rsidRPr="005752DE">
        <w:rPr>
          <w:rFonts w:eastAsia="Calibri"/>
          <w:color w:val="auto"/>
        </w:rPr>
        <w:t xml:space="preserve">. </w:t>
      </w:r>
      <w:r w:rsidR="00A80C32" w:rsidRPr="005752DE">
        <w:rPr>
          <w:color w:val="auto"/>
        </w:rPr>
        <w:t>DHP’s are funded by Central Government. DHP’s are for Housing Benefit and the Housing costs element of Universal Credit.</w:t>
      </w:r>
    </w:p>
    <w:p w:rsidR="004834C2" w:rsidRDefault="004834C2" w:rsidP="004834C2">
      <w:pPr>
        <w:spacing w:after="0" w:line="265" w:lineRule="auto"/>
        <w:ind w:left="979" w:firstLine="0"/>
        <w:rPr>
          <w:color w:val="auto"/>
        </w:rPr>
      </w:pPr>
    </w:p>
    <w:p w:rsidR="004834C2" w:rsidRPr="004834C2" w:rsidRDefault="001E1661" w:rsidP="009A53A1">
      <w:pPr>
        <w:numPr>
          <w:ilvl w:val="0"/>
          <w:numId w:val="1"/>
        </w:numPr>
        <w:spacing w:after="0" w:line="265" w:lineRule="auto"/>
        <w:ind w:hanging="360"/>
        <w:rPr>
          <w:rFonts w:eastAsiaTheme="minorHAnsi"/>
          <w:color w:val="auto"/>
          <w:lang w:eastAsia="en-US"/>
        </w:rPr>
      </w:pPr>
      <w:r w:rsidRPr="005752DE">
        <w:rPr>
          <w:rFonts w:eastAsia="Calibri"/>
          <w:color w:val="auto"/>
          <w:u w:val="single" w:color="000000"/>
        </w:rPr>
        <w:t>Exceptional Hardship Payments</w:t>
      </w:r>
      <w:r w:rsidR="004A29FB" w:rsidRPr="005752DE">
        <w:rPr>
          <w:rFonts w:eastAsia="Calibri"/>
          <w:color w:val="auto"/>
          <w:u w:val="single" w:color="000000"/>
        </w:rPr>
        <w:t xml:space="preserve"> (EHP</w:t>
      </w:r>
      <w:r w:rsidR="00A80C32" w:rsidRPr="005752DE">
        <w:rPr>
          <w:rFonts w:eastAsia="Calibri"/>
          <w:color w:val="auto"/>
          <w:u w:val="single" w:color="000000"/>
        </w:rPr>
        <w:t>’s</w:t>
      </w:r>
      <w:r w:rsidR="004A29FB" w:rsidRPr="005752DE">
        <w:rPr>
          <w:rFonts w:eastAsia="Calibri"/>
          <w:color w:val="auto"/>
          <w:u w:val="single" w:color="000000"/>
        </w:rPr>
        <w:t>)</w:t>
      </w:r>
      <w:r w:rsidRPr="005752DE">
        <w:rPr>
          <w:rFonts w:eastAsia="Calibri"/>
          <w:color w:val="auto"/>
        </w:rPr>
        <w:t xml:space="preserve">:  </w:t>
      </w:r>
      <w:r w:rsidRPr="005752DE">
        <w:rPr>
          <w:rFonts w:eastAsia="Calibri"/>
          <w:color w:val="auto"/>
        </w:rPr>
        <w:tab/>
      </w:r>
    </w:p>
    <w:p w:rsidR="009929F6" w:rsidRDefault="001E1661" w:rsidP="004834C2">
      <w:pPr>
        <w:spacing w:after="0" w:line="265" w:lineRule="auto"/>
        <w:ind w:left="979" w:firstLine="0"/>
        <w:rPr>
          <w:rFonts w:eastAsiaTheme="minorHAnsi"/>
          <w:color w:val="auto"/>
          <w:lang w:eastAsia="en-US"/>
        </w:rPr>
      </w:pPr>
      <w:r w:rsidRPr="005752DE">
        <w:rPr>
          <w:rFonts w:eastAsia="Calibri"/>
          <w:color w:val="auto"/>
        </w:rPr>
        <w:t>Exceptional Hardship Payments, are designed to assist with Council Tax Support shortfall</w:t>
      </w:r>
      <w:r w:rsidR="00A80C32" w:rsidRPr="005752DE">
        <w:rPr>
          <w:rFonts w:eastAsia="Calibri"/>
          <w:color w:val="auto"/>
        </w:rPr>
        <w:t>.</w:t>
      </w:r>
      <w:r w:rsidR="00A80C32" w:rsidRPr="005752DE">
        <w:rPr>
          <w:rFonts w:eastAsiaTheme="minorHAnsi"/>
          <w:color w:val="auto"/>
          <w:lang w:eastAsia="en-US"/>
        </w:rPr>
        <w:t xml:space="preserve"> EHP’s are not funded by Central Government, they are linked to the collection fund so costs are met by SRBC and preceptors.</w:t>
      </w:r>
    </w:p>
    <w:p w:rsidR="00A80C32" w:rsidRPr="004834C2" w:rsidRDefault="00A80C32" w:rsidP="004834C2">
      <w:pPr>
        <w:spacing w:after="0" w:line="265" w:lineRule="auto"/>
        <w:ind w:left="979" w:firstLine="0"/>
        <w:rPr>
          <w:rFonts w:eastAsiaTheme="minorHAnsi"/>
          <w:color w:val="auto"/>
          <w:u w:val="single"/>
          <w:lang w:eastAsia="en-US"/>
        </w:rPr>
      </w:pPr>
      <w:r w:rsidRPr="005752DE">
        <w:rPr>
          <w:rFonts w:eastAsiaTheme="minorHAnsi"/>
          <w:color w:val="auto"/>
          <w:lang w:eastAsia="en-US"/>
        </w:rPr>
        <w:t xml:space="preserve"> </w:t>
      </w:r>
    </w:p>
    <w:p w:rsidR="004834C2" w:rsidRPr="004834C2" w:rsidRDefault="004834C2" w:rsidP="004834C2">
      <w:pPr>
        <w:numPr>
          <w:ilvl w:val="0"/>
          <w:numId w:val="1"/>
        </w:numPr>
        <w:spacing w:after="0" w:line="265" w:lineRule="auto"/>
        <w:ind w:hanging="360"/>
        <w:rPr>
          <w:rFonts w:eastAsiaTheme="minorHAnsi"/>
          <w:color w:val="auto"/>
          <w:u w:val="single"/>
          <w:lang w:eastAsia="en-US"/>
        </w:rPr>
      </w:pPr>
      <w:r w:rsidRPr="004834C2">
        <w:rPr>
          <w:rFonts w:eastAsiaTheme="minorHAnsi"/>
          <w:color w:val="auto"/>
          <w:u w:val="single"/>
          <w:lang w:eastAsia="en-US"/>
        </w:rPr>
        <w:t>Personal Budgeting Support (PBS)</w:t>
      </w:r>
    </w:p>
    <w:p w:rsidR="004834C2" w:rsidRPr="005752DE" w:rsidRDefault="004834C2" w:rsidP="004834C2">
      <w:pPr>
        <w:spacing w:after="0" w:line="265" w:lineRule="auto"/>
        <w:ind w:left="979" w:firstLine="0"/>
        <w:rPr>
          <w:rFonts w:eastAsiaTheme="minorHAnsi"/>
          <w:color w:val="auto"/>
          <w:lang w:eastAsia="en-US"/>
        </w:rPr>
      </w:pPr>
      <w:r w:rsidRPr="004834C2">
        <w:rPr>
          <w:rFonts w:eastAsiaTheme="minorHAnsi"/>
          <w:color w:val="auto"/>
          <w:lang w:eastAsia="en-US"/>
        </w:rPr>
        <w:t>P</w:t>
      </w:r>
      <w:r w:rsidR="009929F6">
        <w:rPr>
          <w:rFonts w:eastAsiaTheme="minorHAnsi"/>
          <w:color w:val="auto"/>
          <w:lang w:eastAsia="en-US"/>
        </w:rPr>
        <w:t>ersonal Budgeting Support offers</w:t>
      </w:r>
      <w:r w:rsidRPr="004834C2">
        <w:rPr>
          <w:rFonts w:eastAsiaTheme="minorHAnsi"/>
          <w:color w:val="auto"/>
          <w:lang w:eastAsia="en-US"/>
        </w:rPr>
        <w:t xml:space="preserve"> advice on how to manage day to day budgeting.   </w:t>
      </w:r>
    </w:p>
    <w:p w:rsidR="004834C2" w:rsidRDefault="004834C2" w:rsidP="004834C2">
      <w:pPr>
        <w:spacing w:after="0" w:line="240" w:lineRule="auto"/>
        <w:ind w:left="567" w:firstLine="0"/>
        <w:rPr>
          <w:color w:val="auto"/>
        </w:rPr>
      </w:pPr>
    </w:p>
    <w:p w:rsidR="004F5690" w:rsidRPr="004834C2" w:rsidRDefault="00EC4391" w:rsidP="004834C2">
      <w:pPr>
        <w:spacing w:after="0" w:line="240" w:lineRule="auto"/>
        <w:ind w:left="567" w:firstLine="0"/>
        <w:rPr>
          <w:color w:val="auto"/>
        </w:rPr>
      </w:pPr>
      <w:r w:rsidRPr="004834C2">
        <w:rPr>
          <w:color w:val="auto"/>
        </w:rPr>
        <w:t>An</w:t>
      </w:r>
      <w:r w:rsidR="00FB2DFA" w:rsidRPr="004834C2">
        <w:rPr>
          <w:color w:val="auto"/>
        </w:rPr>
        <w:t xml:space="preserve"> Exceptional Hardship Policy </w:t>
      </w:r>
      <w:r w:rsidRPr="004834C2">
        <w:rPr>
          <w:color w:val="auto"/>
        </w:rPr>
        <w:t>has been created by the Council to assist applicants for Council Tax Support who are facing hardship. This is to provide further assistance where an applicant is in receipt of Council Tax Support</w:t>
      </w:r>
      <w:r w:rsidR="009929F6">
        <w:rPr>
          <w:color w:val="auto"/>
        </w:rPr>
        <w:t>,</w:t>
      </w:r>
      <w:r w:rsidRPr="004834C2">
        <w:rPr>
          <w:color w:val="auto"/>
        </w:rPr>
        <w:t xml:space="preserve"> but the level of support does not meet their full Council Tax </w:t>
      </w:r>
      <w:r w:rsidR="009929F6">
        <w:rPr>
          <w:color w:val="auto"/>
        </w:rPr>
        <w:t>l</w:t>
      </w:r>
      <w:r w:rsidRPr="004834C2">
        <w:rPr>
          <w:color w:val="auto"/>
        </w:rPr>
        <w:t xml:space="preserve">iability. </w:t>
      </w:r>
      <w:r w:rsidR="009929F6">
        <w:rPr>
          <w:color w:val="auto"/>
        </w:rPr>
        <w:t>This</w:t>
      </w:r>
      <w:r w:rsidR="00FB2DFA" w:rsidRPr="004834C2">
        <w:rPr>
          <w:color w:val="auto"/>
        </w:rPr>
        <w:t xml:space="preserve"> </w:t>
      </w:r>
      <w:r w:rsidRPr="004834C2">
        <w:rPr>
          <w:color w:val="auto"/>
        </w:rPr>
        <w:t>support is</w:t>
      </w:r>
      <w:r w:rsidR="0009765C" w:rsidRPr="004834C2">
        <w:rPr>
          <w:color w:val="auto"/>
        </w:rPr>
        <w:t xml:space="preserve"> available to any applicant in receipt of Council Tax Support. Applications are made in writing by completion of a short form.</w:t>
      </w:r>
      <w:r w:rsidR="00FB2DFA" w:rsidRPr="004834C2">
        <w:rPr>
          <w:color w:val="auto"/>
        </w:rPr>
        <w:t xml:space="preserve"> To receive an award</w:t>
      </w:r>
      <w:r w:rsidR="0009765C" w:rsidRPr="004834C2">
        <w:rPr>
          <w:color w:val="auto"/>
        </w:rPr>
        <w:t xml:space="preserve"> claimants need to demonstrate that they do not have enough income to pay a council tax charge after taking into account all reasonable expenditure. It has been recognised that t</w:t>
      </w:r>
      <w:r w:rsidR="001E1661" w:rsidRPr="004834C2">
        <w:rPr>
          <w:color w:val="auto"/>
        </w:rPr>
        <w:t xml:space="preserve">ake up for </w:t>
      </w:r>
      <w:r w:rsidR="00A80C32" w:rsidRPr="004834C2">
        <w:rPr>
          <w:color w:val="auto"/>
        </w:rPr>
        <w:t xml:space="preserve">EHP’s </w:t>
      </w:r>
      <w:r w:rsidR="001E1661" w:rsidRPr="004834C2">
        <w:rPr>
          <w:color w:val="auto"/>
        </w:rPr>
        <w:t xml:space="preserve">is low and there is a requirement to raise awareness and increase take up for those who need it. In 2017/18 £2840.74 was awarded in Exceptional Hardship Payments. </w:t>
      </w:r>
      <w:r w:rsidR="009929F6">
        <w:rPr>
          <w:color w:val="auto"/>
        </w:rPr>
        <w:t xml:space="preserve">To date for 2018/19 </w:t>
      </w:r>
      <w:r w:rsidR="001E1661" w:rsidRPr="004834C2">
        <w:rPr>
          <w:color w:val="auto"/>
        </w:rPr>
        <w:t>we have awarded £</w:t>
      </w:r>
      <w:r w:rsidR="009929F6">
        <w:rPr>
          <w:color w:val="auto"/>
        </w:rPr>
        <w:t>2883.94</w:t>
      </w:r>
      <w:r w:rsidR="001E1661" w:rsidRPr="004834C2">
        <w:rPr>
          <w:color w:val="auto"/>
        </w:rPr>
        <w:t>. However it should be noted that some provision for council tax shortfalls are taken into account when considering Discretionary Housing Payments.</w:t>
      </w:r>
      <w:r w:rsidR="004F5690" w:rsidRPr="004834C2">
        <w:rPr>
          <w:color w:val="auto"/>
        </w:rPr>
        <w:t xml:space="preserve"> </w:t>
      </w:r>
    </w:p>
    <w:p w:rsidR="004F5690" w:rsidRDefault="004F5690" w:rsidP="004F5690">
      <w:pPr>
        <w:spacing w:after="0" w:line="240" w:lineRule="auto"/>
        <w:ind w:left="567" w:firstLine="0"/>
        <w:rPr>
          <w:color w:val="auto"/>
        </w:rPr>
      </w:pPr>
    </w:p>
    <w:p w:rsidR="004F5690" w:rsidRDefault="004F5690" w:rsidP="004F5690">
      <w:pPr>
        <w:spacing w:after="0" w:line="240" w:lineRule="auto"/>
        <w:ind w:left="567" w:hanging="567"/>
        <w:rPr>
          <w:rFonts w:eastAsia="Times New Roman"/>
          <w:color w:val="auto"/>
          <w:szCs w:val="20"/>
        </w:rPr>
      </w:pPr>
      <w:r>
        <w:rPr>
          <w:color w:val="auto"/>
        </w:rPr>
        <w:lastRenderedPageBreak/>
        <w:t>6.</w:t>
      </w:r>
      <w:r w:rsidR="00CC0A50">
        <w:rPr>
          <w:color w:val="auto"/>
        </w:rPr>
        <w:t>6</w:t>
      </w:r>
      <w:r>
        <w:rPr>
          <w:color w:val="auto"/>
        </w:rPr>
        <w:tab/>
        <w:t>In light of the above</w:t>
      </w:r>
      <w:r w:rsidR="00F92B97">
        <w:rPr>
          <w:color w:val="auto"/>
        </w:rPr>
        <w:t>,</w:t>
      </w:r>
      <w:r>
        <w:rPr>
          <w:color w:val="auto"/>
        </w:rPr>
        <w:t xml:space="preserve"> the proposal is </w:t>
      </w:r>
      <w:r w:rsidR="00F92B97">
        <w:rPr>
          <w:color w:val="auto"/>
        </w:rPr>
        <w:t xml:space="preserve">to </w:t>
      </w:r>
      <w:r w:rsidR="000F14AF">
        <w:rPr>
          <w:color w:val="auto"/>
        </w:rPr>
        <w:t xml:space="preserve">adopt a more proactive </w:t>
      </w:r>
      <w:r w:rsidR="00F92B97">
        <w:rPr>
          <w:color w:val="auto"/>
        </w:rPr>
        <w:t xml:space="preserve">approach to the publicising of all schemes and </w:t>
      </w:r>
      <w:r w:rsidR="00FC7C0A">
        <w:rPr>
          <w:color w:val="auto"/>
        </w:rPr>
        <w:t xml:space="preserve">increase </w:t>
      </w:r>
      <w:r w:rsidR="00F92B97">
        <w:rPr>
          <w:color w:val="auto"/>
        </w:rPr>
        <w:t xml:space="preserve">support to strengthen the </w:t>
      </w:r>
      <w:r w:rsidR="004A29FB">
        <w:rPr>
          <w:color w:val="auto"/>
        </w:rPr>
        <w:t>scheme</w:t>
      </w:r>
      <w:r w:rsidR="00F92B97">
        <w:rPr>
          <w:color w:val="auto"/>
        </w:rPr>
        <w:t xml:space="preserve"> currently known as the Exceptional Hardship Fund</w:t>
      </w:r>
      <w:r w:rsidR="00137243">
        <w:rPr>
          <w:color w:val="auto"/>
        </w:rPr>
        <w:t xml:space="preserve">. The scheme is to be renamed Local Support Fund. We intend to </w:t>
      </w:r>
      <w:r w:rsidR="00F92B97">
        <w:rPr>
          <w:color w:val="auto"/>
        </w:rPr>
        <w:t>ensure</w:t>
      </w:r>
      <w:r w:rsidR="004A29FB">
        <w:rPr>
          <w:color w:val="auto"/>
        </w:rPr>
        <w:t xml:space="preserve"> that </w:t>
      </w:r>
      <w:r w:rsidR="00F92B97">
        <w:rPr>
          <w:color w:val="auto"/>
        </w:rPr>
        <w:t xml:space="preserve">all CTS claimants are </w:t>
      </w:r>
      <w:r w:rsidR="004A29FB">
        <w:rPr>
          <w:color w:val="auto"/>
        </w:rPr>
        <w:t>proactively target</w:t>
      </w:r>
      <w:r w:rsidR="00F92B97">
        <w:rPr>
          <w:color w:val="auto"/>
        </w:rPr>
        <w:t>ed</w:t>
      </w:r>
      <w:r w:rsidR="00B4629B">
        <w:rPr>
          <w:color w:val="auto"/>
        </w:rPr>
        <w:t>.</w:t>
      </w:r>
      <w:r w:rsidR="0011499F">
        <w:rPr>
          <w:color w:val="auto"/>
        </w:rPr>
        <w:t xml:space="preserve"> </w:t>
      </w:r>
      <w:r w:rsidR="004A29FB">
        <w:rPr>
          <w:color w:val="auto"/>
        </w:rPr>
        <w:t xml:space="preserve">A variety of mechanisms will be </w:t>
      </w:r>
      <w:r w:rsidR="00F92B97">
        <w:rPr>
          <w:color w:val="auto"/>
        </w:rPr>
        <w:t>used</w:t>
      </w:r>
      <w:r w:rsidR="00FC7C0A">
        <w:rPr>
          <w:color w:val="auto"/>
        </w:rPr>
        <w:t xml:space="preserve"> to achieve this</w:t>
      </w:r>
      <w:r w:rsidR="004A29FB">
        <w:rPr>
          <w:color w:val="auto"/>
        </w:rPr>
        <w:t xml:space="preserve"> </w:t>
      </w:r>
      <w:r w:rsidR="000F14AF">
        <w:rPr>
          <w:color w:val="auto"/>
        </w:rPr>
        <w:t>including</w:t>
      </w:r>
      <w:r w:rsidR="00137243">
        <w:rPr>
          <w:color w:val="auto"/>
        </w:rPr>
        <w:t>,</w:t>
      </w:r>
      <w:r w:rsidR="00F92B97">
        <w:rPr>
          <w:color w:val="auto"/>
        </w:rPr>
        <w:t xml:space="preserve"> utilising</w:t>
      </w:r>
      <w:r w:rsidR="00E42D07" w:rsidRPr="00BD2BDA">
        <w:rPr>
          <w:rFonts w:eastAsia="Times New Roman"/>
          <w:color w:val="auto"/>
          <w:szCs w:val="20"/>
        </w:rPr>
        <w:t xml:space="preserve"> digital platforms</w:t>
      </w:r>
      <w:r w:rsidR="000F14AF">
        <w:rPr>
          <w:rFonts w:eastAsia="Times New Roman"/>
          <w:color w:val="auto"/>
          <w:szCs w:val="20"/>
        </w:rPr>
        <w:t>,</w:t>
      </w:r>
      <w:r w:rsidR="00E42D07" w:rsidRPr="00BD2BDA">
        <w:rPr>
          <w:rFonts w:eastAsia="Times New Roman"/>
          <w:color w:val="auto"/>
          <w:szCs w:val="20"/>
        </w:rPr>
        <w:t xml:space="preserve"> setting up </w:t>
      </w:r>
      <w:r w:rsidR="000F14AF">
        <w:rPr>
          <w:rFonts w:eastAsia="Times New Roman"/>
          <w:color w:val="auto"/>
          <w:szCs w:val="20"/>
        </w:rPr>
        <w:t xml:space="preserve">online messages on </w:t>
      </w:r>
      <w:r w:rsidR="00E42D07" w:rsidRPr="00BD2BDA">
        <w:rPr>
          <w:rFonts w:eastAsia="Times New Roman"/>
          <w:color w:val="auto"/>
          <w:szCs w:val="20"/>
        </w:rPr>
        <w:t>our website which would also be publicised via our social media channels</w:t>
      </w:r>
      <w:r w:rsidR="00F92B97">
        <w:rPr>
          <w:rFonts w:eastAsia="Times New Roman"/>
          <w:color w:val="auto"/>
          <w:szCs w:val="20"/>
        </w:rPr>
        <w:t xml:space="preserve">. </w:t>
      </w:r>
      <w:r w:rsidR="00B4629B" w:rsidRPr="00137243">
        <w:rPr>
          <w:rFonts w:eastAsia="Times New Roman"/>
          <w:color w:val="auto"/>
          <w:szCs w:val="20"/>
        </w:rPr>
        <w:t xml:space="preserve">A leaflet </w:t>
      </w:r>
      <w:r w:rsidR="0011499F" w:rsidRPr="00137243">
        <w:rPr>
          <w:rFonts w:eastAsia="Times New Roman"/>
          <w:color w:val="auto"/>
          <w:szCs w:val="20"/>
        </w:rPr>
        <w:t xml:space="preserve">has been </w:t>
      </w:r>
      <w:r w:rsidRPr="00137243">
        <w:rPr>
          <w:rFonts w:eastAsia="Times New Roman"/>
          <w:color w:val="auto"/>
          <w:szCs w:val="20"/>
        </w:rPr>
        <w:t xml:space="preserve">prepared </w:t>
      </w:r>
      <w:r w:rsidR="0011499F" w:rsidRPr="00137243">
        <w:rPr>
          <w:rFonts w:eastAsia="Times New Roman"/>
          <w:color w:val="auto"/>
          <w:szCs w:val="20"/>
        </w:rPr>
        <w:t xml:space="preserve">to be </w:t>
      </w:r>
      <w:r w:rsidRPr="00137243">
        <w:rPr>
          <w:rFonts w:eastAsia="Times New Roman"/>
          <w:color w:val="auto"/>
          <w:szCs w:val="20"/>
        </w:rPr>
        <w:t xml:space="preserve">sent to </w:t>
      </w:r>
      <w:r w:rsidR="000F14AF" w:rsidRPr="00137243">
        <w:rPr>
          <w:rFonts w:eastAsia="Times New Roman"/>
          <w:color w:val="auto"/>
          <w:szCs w:val="20"/>
        </w:rPr>
        <w:t xml:space="preserve">all </w:t>
      </w:r>
      <w:r w:rsidRPr="00137243">
        <w:rPr>
          <w:rFonts w:eastAsia="Times New Roman"/>
          <w:color w:val="auto"/>
          <w:szCs w:val="20"/>
        </w:rPr>
        <w:t>CTS claimants</w:t>
      </w:r>
      <w:r w:rsidR="00B4629B" w:rsidRPr="00137243">
        <w:rPr>
          <w:rFonts w:eastAsia="Times New Roman"/>
          <w:color w:val="auto"/>
          <w:szCs w:val="20"/>
        </w:rPr>
        <w:t xml:space="preserve"> as part of the annual billing process</w:t>
      </w:r>
      <w:r w:rsidR="00137243" w:rsidRPr="00137243">
        <w:rPr>
          <w:rFonts w:eastAsia="Times New Roman"/>
          <w:color w:val="auto"/>
          <w:szCs w:val="20"/>
        </w:rPr>
        <w:t>, a copy of which is included with</w:t>
      </w:r>
      <w:r w:rsidR="006555FF">
        <w:rPr>
          <w:rFonts w:eastAsia="Times New Roman"/>
          <w:color w:val="auto"/>
          <w:szCs w:val="20"/>
        </w:rPr>
        <w:t xml:space="preserve"> this report as </w:t>
      </w:r>
      <w:r w:rsidR="006555FF" w:rsidRPr="009929F6">
        <w:rPr>
          <w:rFonts w:eastAsia="Times New Roman"/>
          <w:b/>
          <w:color w:val="auto"/>
          <w:szCs w:val="20"/>
        </w:rPr>
        <w:t xml:space="preserve">Appendix </w:t>
      </w:r>
      <w:r w:rsidR="00E0312C">
        <w:rPr>
          <w:rFonts w:eastAsia="Times New Roman"/>
          <w:b/>
          <w:color w:val="auto"/>
          <w:szCs w:val="20"/>
        </w:rPr>
        <w:t>2</w:t>
      </w:r>
      <w:r w:rsidR="006555FF">
        <w:rPr>
          <w:rFonts w:eastAsia="Times New Roman"/>
          <w:color w:val="auto"/>
          <w:szCs w:val="20"/>
        </w:rPr>
        <w:t>.</w:t>
      </w:r>
    </w:p>
    <w:p w:rsidR="00137243" w:rsidRPr="00137243" w:rsidRDefault="00137243" w:rsidP="004F5690">
      <w:pPr>
        <w:spacing w:after="0" w:line="240" w:lineRule="auto"/>
        <w:ind w:left="567" w:hanging="567"/>
        <w:rPr>
          <w:rFonts w:eastAsia="Times New Roman"/>
          <w:color w:val="auto"/>
          <w:szCs w:val="20"/>
        </w:rPr>
      </w:pPr>
    </w:p>
    <w:p w:rsidR="0011499F" w:rsidRPr="00137243" w:rsidRDefault="0011499F" w:rsidP="004F5690">
      <w:pPr>
        <w:spacing w:after="0" w:line="240" w:lineRule="auto"/>
        <w:ind w:left="567" w:hanging="567"/>
        <w:rPr>
          <w:rFonts w:eastAsia="Times New Roman"/>
          <w:color w:val="auto"/>
          <w:szCs w:val="20"/>
        </w:rPr>
      </w:pPr>
      <w:r>
        <w:rPr>
          <w:rFonts w:eastAsia="Times New Roman"/>
          <w:color w:val="auto"/>
          <w:szCs w:val="20"/>
        </w:rPr>
        <w:t>6.</w:t>
      </w:r>
      <w:r w:rsidR="00CC0A50">
        <w:rPr>
          <w:rFonts w:eastAsia="Times New Roman"/>
          <w:color w:val="auto"/>
          <w:szCs w:val="20"/>
        </w:rPr>
        <w:t>7</w:t>
      </w:r>
      <w:r>
        <w:rPr>
          <w:rFonts w:eastAsia="Times New Roman"/>
          <w:color w:val="auto"/>
          <w:szCs w:val="20"/>
        </w:rPr>
        <w:t xml:space="preserve"> </w:t>
      </w:r>
      <w:r>
        <w:rPr>
          <w:rFonts w:eastAsia="Times New Roman"/>
          <w:color w:val="auto"/>
          <w:szCs w:val="20"/>
        </w:rPr>
        <w:tab/>
      </w:r>
      <w:r w:rsidR="00C73809">
        <w:t xml:space="preserve">As at the date of this report around 5,808 (11.7%) households out of 49,470 in the borough receive this support, this is at a cost of </w:t>
      </w:r>
      <w:r w:rsidR="00C73809" w:rsidRPr="009719F3">
        <w:t>£</w:t>
      </w:r>
      <w:r w:rsidR="00C73809">
        <w:t>5,012,526</w:t>
      </w:r>
      <w:r w:rsidR="00C73809" w:rsidRPr="009719F3">
        <w:t xml:space="preserve"> of which £611,528 is South Ribble’s share. Of those benefitting 3</w:t>
      </w:r>
      <w:r w:rsidR="00C73809">
        <w:t>,</w:t>
      </w:r>
      <w:r w:rsidR="00C73809" w:rsidRPr="009719F3">
        <w:t>021</w:t>
      </w:r>
      <w:r w:rsidR="00C73809">
        <w:t xml:space="preserve"> households</w:t>
      </w:r>
      <w:r w:rsidR="00C73809" w:rsidRPr="009719F3">
        <w:t xml:space="preserve"> </w:t>
      </w:r>
      <w:r w:rsidR="00C73809">
        <w:t xml:space="preserve">(6.1%) </w:t>
      </w:r>
      <w:r w:rsidR="00C73809" w:rsidRPr="009719F3">
        <w:t>are working age and 2</w:t>
      </w:r>
      <w:r w:rsidR="00C73809">
        <w:t>,</w:t>
      </w:r>
      <w:r w:rsidR="00C73809" w:rsidRPr="009719F3">
        <w:t xml:space="preserve">787 </w:t>
      </w:r>
      <w:r w:rsidR="00C73809">
        <w:t xml:space="preserve">(5.6%) </w:t>
      </w:r>
      <w:r w:rsidR="00C73809" w:rsidRPr="009719F3">
        <w:t>are pensioners (who continue to qualify for rebates of up to 100%)</w:t>
      </w:r>
      <w:r w:rsidR="00C73809">
        <w:t>.  At this point we do not have the analytical data to understand the spread of these claimants across wards or other demographic information. Some</w:t>
      </w:r>
      <w:r w:rsidRPr="00137243">
        <w:rPr>
          <w:rFonts w:eastAsia="Times New Roman"/>
          <w:color w:val="auto"/>
          <w:szCs w:val="20"/>
        </w:rPr>
        <w:t xml:space="preserve"> initial work has been carried out to identify the profile of Council Tax Support claimants by ward. This data has been </w:t>
      </w:r>
      <w:r w:rsidR="00137243" w:rsidRPr="00137243">
        <w:rPr>
          <w:rFonts w:eastAsia="Times New Roman"/>
          <w:color w:val="auto"/>
          <w:szCs w:val="20"/>
        </w:rPr>
        <w:t>included with t</w:t>
      </w:r>
      <w:r w:rsidRPr="00137243">
        <w:rPr>
          <w:rFonts w:eastAsia="Times New Roman"/>
          <w:color w:val="auto"/>
          <w:szCs w:val="20"/>
        </w:rPr>
        <w:t xml:space="preserve">his report. Further work is needed to obtain a more accurate breakdown and a working age/pension age split. </w:t>
      </w:r>
      <w:r w:rsidR="009929F6">
        <w:rPr>
          <w:rFonts w:eastAsia="Times New Roman"/>
          <w:color w:val="auto"/>
          <w:szCs w:val="20"/>
        </w:rPr>
        <w:t>Cabinet</w:t>
      </w:r>
      <w:r w:rsidR="0040342F" w:rsidRPr="00137243">
        <w:rPr>
          <w:rFonts w:eastAsia="Times New Roman"/>
          <w:color w:val="auto"/>
          <w:szCs w:val="20"/>
        </w:rPr>
        <w:t xml:space="preserve"> </w:t>
      </w:r>
      <w:r w:rsidR="009929F6">
        <w:rPr>
          <w:rFonts w:eastAsia="Times New Roman"/>
          <w:color w:val="auto"/>
          <w:szCs w:val="20"/>
        </w:rPr>
        <w:t xml:space="preserve">is </w:t>
      </w:r>
      <w:r w:rsidR="0040342F" w:rsidRPr="00137243">
        <w:rPr>
          <w:rFonts w:eastAsia="Times New Roman"/>
          <w:color w:val="auto"/>
          <w:szCs w:val="20"/>
        </w:rPr>
        <w:t>asked to note that work is ongoing to provide this data.</w:t>
      </w:r>
    </w:p>
    <w:p w:rsidR="00DD6FDD" w:rsidRPr="00137243" w:rsidRDefault="00DD6FDD" w:rsidP="004F5690">
      <w:pPr>
        <w:spacing w:after="0" w:line="240" w:lineRule="auto"/>
        <w:ind w:left="567" w:hanging="567"/>
        <w:rPr>
          <w:rFonts w:eastAsia="Times New Roman"/>
          <w:color w:val="auto"/>
          <w:szCs w:val="20"/>
        </w:rPr>
      </w:pPr>
    </w:p>
    <w:p w:rsidR="00585EDC" w:rsidRPr="00585EDC" w:rsidRDefault="00585EDC" w:rsidP="00585EDC">
      <w:pPr>
        <w:spacing w:after="0" w:line="240" w:lineRule="auto"/>
        <w:ind w:left="567" w:hanging="567"/>
        <w:rPr>
          <w:rFonts w:eastAsia="Times New Roman"/>
          <w:color w:val="auto"/>
        </w:rPr>
      </w:pPr>
      <w:r w:rsidRPr="00C0202A">
        <w:rPr>
          <w:rFonts w:eastAsia="Times New Roman"/>
          <w:color w:val="auto"/>
          <w:szCs w:val="20"/>
        </w:rPr>
        <w:t>6.8</w:t>
      </w:r>
      <w:r w:rsidRPr="00C0202A">
        <w:rPr>
          <w:rFonts w:eastAsia="Times New Roman"/>
          <w:b/>
          <w:color w:val="auto"/>
          <w:szCs w:val="20"/>
        </w:rPr>
        <w:t xml:space="preserve"> </w:t>
      </w:r>
      <w:r w:rsidRPr="00C0202A">
        <w:rPr>
          <w:rFonts w:eastAsia="Times New Roman"/>
          <w:b/>
          <w:color w:val="auto"/>
          <w:szCs w:val="20"/>
        </w:rPr>
        <w:tab/>
      </w:r>
      <w:r w:rsidRPr="00C0202A">
        <w:rPr>
          <w:rFonts w:eastAsia="Times New Roman"/>
          <w:color w:val="auto"/>
        </w:rPr>
        <w:t xml:space="preserve">As a Council we are keen to support </w:t>
      </w:r>
      <w:r w:rsidR="00055CB1">
        <w:rPr>
          <w:rFonts w:eastAsia="Times New Roman"/>
          <w:color w:val="auto"/>
        </w:rPr>
        <w:t xml:space="preserve">customers </w:t>
      </w:r>
      <w:r w:rsidRPr="00C0202A">
        <w:rPr>
          <w:rFonts w:eastAsia="Times New Roman"/>
          <w:color w:val="auto"/>
        </w:rPr>
        <w:t>to avoid getting into difficulties with Council Tax</w:t>
      </w:r>
      <w:r w:rsidRPr="00585EDC">
        <w:rPr>
          <w:rFonts w:eastAsia="Times New Roman"/>
          <w:color w:val="auto"/>
        </w:rPr>
        <w:t>. This reflects our desire to focus on prevention and the health and wellbeing of our residents. Further where possible the Council will follow the 6 steps for</w:t>
      </w:r>
      <w:r w:rsidRPr="00585EDC">
        <w:rPr>
          <w:color w:val="auto"/>
        </w:rPr>
        <w:t xml:space="preserve"> Local Authorities good practice guide produced by the Money Advice Trust. </w:t>
      </w:r>
      <w:r>
        <w:rPr>
          <w:color w:val="auto"/>
        </w:rPr>
        <w:t>A summary of our action to date is provided below:</w:t>
      </w:r>
    </w:p>
    <w:p w:rsidR="00585EDC" w:rsidRPr="00585EDC" w:rsidRDefault="00585EDC" w:rsidP="004F5690">
      <w:pPr>
        <w:spacing w:after="0" w:line="240" w:lineRule="auto"/>
        <w:ind w:left="567" w:hanging="567"/>
        <w:rPr>
          <w:rFonts w:eastAsia="Times New Roman"/>
          <w:color w:val="auto"/>
        </w:rPr>
      </w:pPr>
    </w:p>
    <w:p w:rsidR="00585EDC" w:rsidRPr="00585EDC" w:rsidRDefault="00585EDC" w:rsidP="00585EDC">
      <w:pPr>
        <w:pStyle w:val="ListParagraph"/>
        <w:numPr>
          <w:ilvl w:val="0"/>
          <w:numId w:val="28"/>
        </w:numPr>
        <w:spacing w:after="0" w:line="240" w:lineRule="auto"/>
        <w:contextualSpacing w:val="0"/>
        <w:rPr>
          <w:rFonts w:eastAsiaTheme="minorHAnsi"/>
          <w:i/>
          <w:iCs/>
          <w:color w:val="auto"/>
        </w:rPr>
      </w:pPr>
      <w:r w:rsidRPr="00585EDC">
        <w:rPr>
          <w:i/>
          <w:iCs/>
          <w:color w:val="auto"/>
        </w:rPr>
        <w:t>Make a clear public commitment to reduce the use of bailiffs over time</w:t>
      </w:r>
    </w:p>
    <w:p w:rsidR="00585EDC" w:rsidRPr="00585EDC" w:rsidRDefault="00585EDC" w:rsidP="00585EDC">
      <w:pPr>
        <w:ind w:left="360" w:firstLine="0"/>
        <w:rPr>
          <w:color w:val="auto"/>
        </w:rPr>
      </w:pPr>
      <w:r w:rsidRPr="00585EDC">
        <w:rPr>
          <w:color w:val="auto"/>
        </w:rPr>
        <w:t>We are continually reviewing all options open for recovery and have introduced additional steps in our own recovery processes. The numbers of other recovery actions may have increased and enforcement agent numbers may have seen a decrease, but we cannot commit to continue this decrease.  If other methods have been exhausted then enforcement action will still be necessary to collect any outstanding monies.</w:t>
      </w:r>
    </w:p>
    <w:p w:rsidR="00585EDC" w:rsidRPr="00585EDC" w:rsidRDefault="00585EDC" w:rsidP="00585EDC">
      <w:pPr>
        <w:pStyle w:val="ListParagraph"/>
        <w:numPr>
          <w:ilvl w:val="0"/>
          <w:numId w:val="28"/>
        </w:numPr>
        <w:spacing w:after="0" w:line="240" w:lineRule="auto"/>
        <w:contextualSpacing w:val="0"/>
        <w:rPr>
          <w:i/>
          <w:iCs/>
          <w:color w:val="auto"/>
        </w:rPr>
      </w:pPr>
      <w:r w:rsidRPr="00585EDC">
        <w:rPr>
          <w:i/>
          <w:iCs/>
          <w:color w:val="auto"/>
        </w:rPr>
        <w:t>Review signposting to free debt advice, including phone/online channels</w:t>
      </w:r>
    </w:p>
    <w:p w:rsidR="00585EDC" w:rsidRPr="00585EDC" w:rsidRDefault="00585EDC" w:rsidP="00585EDC">
      <w:pPr>
        <w:ind w:left="360" w:firstLine="0"/>
        <w:rPr>
          <w:color w:val="auto"/>
        </w:rPr>
      </w:pPr>
      <w:r w:rsidRPr="00585EDC">
        <w:rPr>
          <w:color w:val="auto"/>
        </w:rPr>
        <w:t xml:space="preserve">Debt advice information is included on </w:t>
      </w:r>
      <w:r w:rsidR="00055CB1">
        <w:rPr>
          <w:color w:val="auto"/>
        </w:rPr>
        <w:t xml:space="preserve">the </w:t>
      </w:r>
      <w:r w:rsidRPr="00585EDC">
        <w:rPr>
          <w:color w:val="auto"/>
        </w:rPr>
        <w:t>recovery documentation that is sent out to customers and reviewed regularly for accuracy and relevance. Information is also freely available on our website.</w:t>
      </w:r>
    </w:p>
    <w:p w:rsidR="00585EDC" w:rsidRPr="00585EDC" w:rsidRDefault="00585EDC" w:rsidP="00585EDC">
      <w:pPr>
        <w:pStyle w:val="ListParagraph"/>
        <w:ind w:hanging="360"/>
        <w:rPr>
          <w:color w:val="auto"/>
        </w:rPr>
      </w:pPr>
    </w:p>
    <w:p w:rsidR="00585EDC" w:rsidRPr="00585EDC" w:rsidRDefault="00585EDC" w:rsidP="00585EDC">
      <w:pPr>
        <w:pStyle w:val="ListParagraph"/>
        <w:numPr>
          <w:ilvl w:val="0"/>
          <w:numId w:val="28"/>
        </w:numPr>
        <w:spacing w:after="0" w:line="240" w:lineRule="auto"/>
        <w:contextualSpacing w:val="0"/>
        <w:rPr>
          <w:i/>
          <w:iCs/>
          <w:color w:val="auto"/>
        </w:rPr>
      </w:pPr>
      <w:r w:rsidRPr="00585EDC">
        <w:rPr>
          <w:i/>
          <w:iCs/>
          <w:color w:val="auto"/>
        </w:rPr>
        <w:t>Adopt the Standard Financial Statement (SFS) to objectively assess affordability</w:t>
      </w:r>
    </w:p>
    <w:p w:rsidR="00585EDC" w:rsidRPr="00585EDC" w:rsidRDefault="00585EDC" w:rsidP="00585EDC">
      <w:pPr>
        <w:ind w:left="360" w:firstLine="0"/>
        <w:rPr>
          <w:color w:val="auto"/>
        </w:rPr>
      </w:pPr>
      <w:r w:rsidRPr="00585EDC">
        <w:rPr>
          <w:color w:val="auto"/>
        </w:rPr>
        <w:t>The financial form that we use to ask customers about their financial circumstances is more detailed than the recommended SFS.  We also signpost customers to the personal budgeting service that is provided within Gateway.</w:t>
      </w:r>
    </w:p>
    <w:p w:rsidR="00585EDC" w:rsidRPr="00585EDC" w:rsidRDefault="00585EDC" w:rsidP="00585EDC">
      <w:pPr>
        <w:pStyle w:val="ListParagraph"/>
        <w:numPr>
          <w:ilvl w:val="0"/>
          <w:numId w:val="28"/>
        </w:numPr>
        <w:spacing w:after="0" w:line="240" w:lineRule="auto"/>
        <w:contextualSpacing w:val="0"/>
        <w:rPr>
          <w:i/>
          <w:iCs/>
          <w:color w:val="auto"/>
        </w:rPr>
      </w:pPr>
      <w:r w:rsidRPr="00585EDC">
        <w:rPr>
          <w:i/>
          <w:iCs/>
          <w:color w:val="auto"/>
        </w:rPr>
        <w:t>Put in place a formal policy covering residents in vulnerable circumstances</w:t>
      </w:r>
    </w:p>
    <w:p w:rsidR="00585EDC" w:rsidRPr="00585EDC" w:rsidRDefault="00585EDC" w:rsidP="00585EDC">
      <w:pPr>
        <w:ind w:left="360" w:firstLine="0"/>
        <w:rPr>
          <w:color w:val="auto"/>
        </w:rPr>
      </w:pPr>
      <w:r w:rsidRPr="00585EDC">
        <w:rPr>
          <w:color w:val="auto"/>
        </w:rPr>
        <w:t>Vulnerability and awareness of vulnerability has been included in the amended debt recovery policy and our enforcement agents also have extensive policies and practices around vulnerability issues (inc</w:t>
      </w:r>
      <w:r w:rsidR="00055CB1">
        <w:rPr>
          <w:color w:val="auto"/>
        </w:rPr>
        <w:t>luded</w:t>
      </w:r>
      <w:r w:rsidRPr="00585EDC">
        <w:rPr>
          <w:color w:val="auto"/>
        </w:rPr>
        <w:t xml:space="preserve"> within the Taking Control of Goods Act/National Standards 2014).</w:t>
      </w:r>
    </w:p>
    <w:p w:rsidR="00585EDC" w:rsidRPr="00585EDC" w:rsidRDefault="00585EDC" w:rsidP="00585EDC">
      <w:pPr>
        <w:pStyle w:val="ListParagraph"/>
        <w:numPr>
          <w:ilvl w:val="0"/>
          <w:numId w:val="28"/>
        </w:numPr>
        <w:spacing w:after="0" w:line="240" w:lineRule="auto"/>
        <w:contextualSpacing w:val="0"/>
        <w:rPr>
          <w:i/>
          <w:iCs/>
          <w:color w:val="auto"/>
        </w:rPr>
      </w:pPr>
      <w:r w:rsidRPr="00585EDC">
        <w:rPr>
          <w:i/>
          <w:iCs/>
          <w:color w:val="auto"/>
        </w:rPr>
        <w:t>Exempt Council Tax Support (CTS) recipients from bailiff action (England only)</w:t>
      </w:r>
    </w:p>
    <w:p w:rsidR="00585EDC" w:rsidRPr="00585EDC" w:rsidRDefault="00055CB1" w:rsidP="00585EDC">
      <w:pPr>
        <w:ind w:left="360" w:firstLine="0"/>
        <w:rPr>
          <w:color w:val="auto"/>
        </w:rPr>
      </w:pPr>
      <w:r>
        <w:rPr>
          <w:color w:val="auto"/>
        </w:rPr>
        <w:lastRenderedPageBreak/>
        <w:t xml:space="preserve">This would require a change to the Council current Policy. As referred to in the first bullet point above a number of </w:t>
      </w:r>
      <w:r w:rsidR="00585EDC" w:rsidRPr="00585EDC">
        <w:rPr>
          <w:color w:val="auto"/>
        </w:rPr>
        <w:t xml:space="preserve">other recovery procedures </w:t>
      </w:r>
      <w:r w:rsidR="00176B86">
        <w:rPr>
          <w:color w:val="auto"/>
        </w:rPr>
        <w:t xml:space="preserve">are </w:t>
      </w:r>
      <w:r w:rsidR="00585EDC" w:rsidRPr="00585EDC">
        <w:rPr>
          <w:color w:val="auto"/>
        </w:rPr>
        <w:t xml:space="preserve">used </w:t>
      </w:r>
      <w:r w:rsidR="00176B86">
        <w:rPr>
          <w:color w:val="auto"/>
        </w:rPr>
        <w:t xml:space="preserve">including </w:t>
      </w:r>
      <w:r w:rsidR="00585EDC" w:rsidRPr="00585EDC">
        <w:rPr>
          <w:color w:val="auto"/>
        </w:rPr>
        <w:t>payment arrangements, attach</w:t>
      </w:r>
      <w:r w:rsidR="00176B86">
        <w:rPr>
          <w:color w:val="auto"/>
        </w:rPr>
        <w:t>ment of</w:t>
      </w:r>
      <w:r w:rsidR="00585EDC" w:rsidRPr="00585EDC">
        <w:rPr>
          <w:color w:val="auto"/>
        </w:rPr>
        <w:t xml:space="preserve"> benefit/universal credit, </w:t>
      </w:r>
      <w:r w:rsidR="00176B86">
        <w:rPr>
          <w:color w:val="auto"/>
        </w:rPr>
        <w:t xml:space="preserve">and </w:t>
      </w:r>
      <w:r w:rsidR="00585EDC" w:rsidRPr="00585EDC">
        <w:rPr>
          <w:color w:val="auto"/>
        </w:rPr>
        <w:t>attachment of earnings.</w:t>
      </w:r>
    </w:p>
    <w:p w:rsidR="00585EDC" w:rsidRPr="00585EDC" w:rsidRDefault="00585EDC" w:rsidP="00585EDC">
      <w:pPr>
        <w:pStyle w:val="ListParagraph"/>
        <w:numPr>
          <w:ilvl w:val="0"/>
          <w:numId w:val="28"/>
        </w:numPr>
        <w:spacing w:after="0" w:line="240" w:lineRule="auto"/>
        <w:contextualSpacing w:val="0"/>
        <w:rPr>
          <w:i/>
          <w:iCs/>
          <w:color w:val="auto"/>
        </w:rPr>
      </w:pPr>
      <w:r w:rsidRPr="00585EDC">
        <w:rPr>
          <w:i/>
          <w:iCs/>
          <w:color w:val="auto"/>
        </w:rPr>
        <w:t>Sign the Council Tax Protocol and examine the Money Advice Service toolkit for working with debt advice agencies</w:t>
      </w:r>
    </w:p>
    <w:p w:rsidR="00585EDC" w:rsidRPr="00585EDC" w:rsidRDefault="00585EDC" w:rsidP="00585EDC">
      <w:pPr>
        <w:ind w:left="360" w:firstLine="0"/>
        <w:rPr>
          <w:color w:val="auto"/>
        </w:rPr>
      </w:pPr>
      <w:r w:rsidRPr="00585EDC">
        <w:rPr>
          <w:color w:val="auto"/>
        </w:rPr>
        <w:t xml:space="preserve">The Council Tax protocol was agreed and signed </w:t>
      </w:r>
      <w:r w:rsidR="00176B86">
        <w:rPr>
          <w:color w:val="auto"/>
        </w:rPr>
        <w:t xml:space="preserve">in </w:t>
      </w:r>
      <w:r w:rsidRPr="00585EDC">
        <w:rPr>
          <w:color w:val="auto"/>
        </w:rPr>
        <w:t>early 2018</w:t>
      </w:r>
      <w:r w:rsidR="00176B86">
        <w:rPr>
          <w:color w:val="auto"/>
        </w:rPr>
        <w:t xml:space="preserve">. Staff are </w:t>
      </w:r>
      <w:r w:rsidRPr="00585EDC">
        <w:rPr>
          <w:color w:val="auto"/>
        </w:rPr>
        <w:t>fully aware of current information for debt advice agencies.  1-2-1 review meetings with the Citizens Advice and our enforcement agents</w:t>
      </w:r>
      <w:r w:rsidR="00176B86">
        <w:rPr>
          <w:color w:val="auto"/>
        </w:rPr>
        <w:t xml:space="preserve"> are also regularly undertaken</w:t>
      </w:r>
      <w:r w:rsidRPr="00585EDC">
        <w:rPr>
          <w:color w:val="auto"/>
        </w:rPr>
        <w:t>.</w:t>
      </w:r>
    </w:p>
    <w:p w:rsidR="00BD2BDA" w:rsidRPr="006B593F" w:rsidRDefault="004A304D" w:rsidP="002D0E8A">
      <w:pPr>
        <w:spacing w:after="0" w:line="240" w:lineRule="auto"/>
        <w:ind w:left="567" w:hanging="567"/>
        <w:rPr>
          <w:rFonts w:eastAsia="Times New Roman"/>
          <w:b/>
          <w:color w:val="auto"/>
        </w:rPr>
      </w:pPr>
      <w:r>
        <w:rPr>
          <w:rFonts w:eastAsia="Times New Roman"/>
          <w:b/>
          <w:color w:val="auto"/>
        </w:rPr>
        <w:t xml:space="preserve">7. </w:t>
      </w:r>
      <w:r w:rsidR="002D0E8A">
        <w:rPr>
          <w:rFonts w:eastAsia="Times New Roman"/>
          <w:b/>
          <w:color w:val="auto"/>
        </w:rPr>
        <w:tab/>
      </w:r>
      <w:r w:rsidR="00BD2BDA" w:rsidRPr="006B593F">
        <w:rPr>
          <w:rFonts w:eastAsia="Times New Roman"/>
          <w:b/>
          <w:color w:val="auto"/>
        </w:rPr>
        <w:t xml:space="preserve">CONSULTATION </w:t>
      </w:r>
      <w:r w:rsidR="00C9284A">
        <w:rPr>
          <w:rFonts w:eastAsia="Times New Roman"/>
          <w:b/>
          <w:color w:val="auto"/>
        </w:rPr>
        <w:t>REQUIREMENTS</w:t>
      </w:r>
    </w:p>
    <w:p w:rsidR="00BD2BDA" w:rsidRPr="00BD2BDA" w:rsidRDefault="00BD2BDA" w:rsidP="00BD2BDA">
      <w:pPr>
        <w:spacing w:after="0" w:line="240" w:lineRule="auto"/>
        <w:ind w:left="567" w:firstLine="0"/>
        <w:rPr>
          <w:rFonts w:eastAsia="Times New Roman"/>
          <w:b/>
          <w:color w:val="auto"/>
        </w:rPr>
      </w:pPr>
    </w:p>
    <w:p w:rsidR="005404C5" w:rsidRDefault="000D3EFB" w:rsidP="001028C8">
      <w:pPr>
        <w:spacing w:after="0" w:line="240" w:lineRule="auto"/>
        <w:ind w:left="567" w:hanging="567"/>
        <w:rPr>
          <w:rFonts w:eastAsia="Times New Roman"/>
          <w:color w:val="auto"/>
        </w:rPr>
      </w:pPr>
      <w:r>
        <w:rPr>
          <w:rFonts w:eastAsia="Times New Roman"/>
          <w:color w:val="auto"/>
        </w:rPr>
        <w:t>7.1</w:t>
      </w:r>
      <w:r w:rsidR="005404C5">
        <w:rPr>
          <w:rFonts w:eastAsia="Times New Roman"/>
          <w:color w:val="auto"/>
        </w:rPr>
        <w:t xml:space="preserve"> </w:t>
      </w:r>
      <w:r w:rsidR="005404C5">
        <w:rPr>
          <w:rFonts w:eastAsia="Times New Roman"/>
          <w:color w:val="auto"/>
        </w:rPr>
        <w:tab/>
      </w:r>
      <w:r w:rsidR="005404C5">
        <w:t>Government have indicated a change to Local Government Financing to take effect from 2020/21 through a revised funding formula. The Council continues to engage in the consultation process for this significant financial change. These funding changes may further impact on the CTSS.</w:t>
      </w:r>
    </w:p>
    <w:p w:rsidR="005404C5" w:rsidRDefault="005404C5" w:rsidP="001028C8">
      <w:pPr>
        <w:spacing w:after="0" w:line="240" w:lineRule="auto"/>
        <w:ind w:left="567" w:hanging="567"/>
        <w:rPr>
          <w:rFonts w:eastAsia="Times New Roman"/>
          <w:color w:val="auto"/>
        </w:rPr>
      </w:pPr>
    </w:p>
    <w:p w:rsidR="00BD2BDA" w:rsidRPr="00BD2BDA" w:rsidRDefault="005404C5" w:rsidP="001028C8">
      <w:pPr>
        <w:spacing w:after="0" w:line="240" w:lineRule="auto"/>
        <w:ind w:left="567" w:hanging="567"/>
        <w:rPr>
          <w:rFonts w:eastAsia="Times New Roman"/>
          <w:b/>
          <w:color w:val="auto"/>
        </w:rPr>
      </w:pPr>
      <w:r>
        <w:rPr>
          <w:rFonts w:eastAsia="Times New Roman"/>
          <w:color w:val="auto"/>
        </w:rPr>
        <w:t>7.2</w:t>
      </w:r>
      <w:r w:rsidR="000D3EFB">
        <w:rPr>
          <w:rFonts w:eastAsia="Times New Roman"/>
          <w:color w:val="auto"/>
        </w:rPr>
        <w:tab/>
      </w:r>
      <w:r w:rsidR="000F14AF">
        <w:rPr>
          <w:rFonts w:eastAsia="Times New Roman"/>
          <w:color w:val="auto"/>
        </w:rPr>
        <w:t xml:space="preserve">In relation to the adoption of a new or revised </w:t>
      </w:r>
      <w:r w:rsidR="001E3FA8">
        <w:rPr>
          <w:rFonts w:eastAsia="Times New Roman"/>
          <w:color w:val="auto"/>
        </w:rPr>
        <w:t xml:space="preserve">CTS </w:t>
      </w:r>
      <w:r w:rsidR="000F14AF">
        <w:rPr>
          <w:rFonts w:eastAsia="Times New Roman"/>
          <w:color w:val="auto"/>
        </w:rPr>
        <w:t xml:space="preserve">scheme </w:t>
      </w:r>
      <w:r w:rsidR="00BD2BDA" w:rsidRPr="00BD2BDA">
        <w:rPr>
          <w:rFonts w:eastAsia="Times New Roman"/>
          <w:color w:val="auto"/>
        </w:rPr>
        <w:t>Public Consultation is a statutory requirement within the localisation of Council Tax Support. Any consultation must take place with major preceptors and residents. This consultation exercise is to be carried out once scheme</w:t>
      </w:r>
      <w:r w:rsidR="003373F3">
        <w:rPr>
          <w:rFonts w:eastAsia="Times New Roman"/>
          <w:color w:val="auto"/>
        </w:rPr>
        <w:t xml:space="preserve"> options</w:t>
      </w:r>
      <w:r w:rsidR="00BD2BDA" w:rsidRPr="00BD2BDA">
        <w:rPr>
          <w:rFonts w:eastAsia="Times New Roman"/>
          <w:color w:val="auto"/>
        </w:rPr>
        <w:t xml:space="preserve"> ha</w:t>
      </w:r>
      <w:r w:rsidR="003373F3">
        <w:rPr>
          <w:rFonts w:eastAsia="Times New Roman"/>
          <w:color w:val="auto"/>
        </w:rPr>
        <w:t>ve</w:t>
      </w:r>
      <w:r w:rsidR="00BD2BDA" w:rsidRPr="00BD2BDA">
        <w:rPr>
          <w:rFonts w:eastAsia="Times New Roman"/>
          <w:color w:val="auto"/>
        </w:rPr>
        <w:t xml:space="preserve"> been identified.</w:t>
      </w:r>
    </w:p>
    <w:p w:rsidR="00BD2BDA" w:rsidRPr="00BD2BDA" w:rsidRDefault="00BD2BDA" w:rsidP="00BD2BDA">
      <w:pPr>
        <w:spacing w:after="0" w:line="240" w:lineRule="auto"/>
        <w:ind w:left="360" w:firstLine="0"/>
        <w:rPr>
          <w:rFonts w:eastAsia="Times New Roman"/>
          <w:color w:val="auto"/>
        </w:rPr>
      </w:pPr>
    </w:p>
    <w:p w:rsidR="00BD2BDA" w:rsidRPr="00BD2BDA" w:rsidRDefault="00BD2BDA" w:rsidP="001E1661">
      <w:pPr>
        <w:spacing w:after="0" w:line="240" w:lineRule="auto"/>
        <w:ind w:left="567" w:firstLine="0"/>
        <w:rPr>
          <w:rFonts w:eastAsia="Times New Roman"/>
          <w:b/>
          <w:color w:val="auto"/>
        </w:rPr>
      </w:pPr>
      <w:r w:rsidRPr="00BD2BDA">
        <w:rPr>
          <w:rFonts w:eastAsia="Times New Roman"/>
          <w:color w:val="auto"/>
        </w:rPr>
        <w:t>Government guidance is that consultation with residents and any other interested persons should preferably be for a 12 week period. Major preceptors must also be part of this consultation exercise.</w:t>
      </w:r>
    </w:p>
    <w:p w:rsidR="00BD2BDA" w:rsidRPr="00BD2BDA" w:rsidRDefault="00BD2BDA" w:rsidP="00BD2BDA">
      <w:pPr>
        <w:spacing w:after="0" w:line="240" w:lineRule="auto"/>
        <w:ind w:left="0" w:firstLine="0"/>
        <w:rPr>
          <w:rFonts w:eastAsia="Times New Roman"/>
          <w:color w:val="auto"/>
        </w:rPr>
      </w:pPr>
    </w:p>
    <w:p w:rsidR="00BD2BDA" w:rsidRPr="00BD2BDA" w:rsidRDefault="00BD2BDA" w:rsidP="00BD2BDA">
      <w:pPr>
        <w:spacing w:after="0" w:line="240" w:lineRule="auto"/>
        <w:ind w:left="567" w:firstLine="0"/>
        <w:rPr>
          <w:rFonts w:eastAsia="Times New Roman"/>
          <w:color w:val="auto"/>
        </w:rPr>
      </w:pPr>
      <w:r w:rsidRPr="00BD2BDA">
        <w:rPr>
          <w:rFonts w:eastAsia="Times New Roman"/>
          <w:color w:val="auto"/>
        </w:rPr>
        <w:t>The LGFA 1992 (amended by 2012 Act) states for </w:t>
      </w:r>
      <w:r w:rsidRPr="00BD2BDA">
        <w:rPr>
          <w:rFonts w:eastAsia="Times New Roman"/>
          <w:b/>
          <w:bCs/>
          <w:color w:val="auto"/>
        </w:rPr>
        <w:t>new Council Tax Support schemes</w:t>
      </w:r>
      <w:r w:rsidRPr="00BD2BDA">
        <w:rPr>
          <w:rFonts w:eastAsia="Times New Roman"/>
          <w:color w:val="auto"/>
        </w:rPr>
        <w:t> the following:</w:t>
      </w:r>
    </w:p>
    <w:p w:rsidR="00BD2BDA" w:rsidRPr="00BD2BDA" w:rsidRDefault="00BD2BDA" w:rsidP="00BD2BDA">
      <w:pPr>
        <w:spacing w:after="0" w:line="240" w:lineRule="auto"/>
        <w:ind w:left="0" w:firstLine="0"/>
        <w:rPr>
          <w:rFonts w:eastAsia="Times New Roman"/>
          <w:color w:val="auto"/>
        </w:rPr>
      </w:pPr>
    </w:p>
    <w:p w:rsidR="00BD2BDA" w:rsidRPr="00BD2BDA" w:rsidRDefault="00BD2BDA" w:rsidP="00BD2BDA">
      <w:pPr>
        <w:spacing w:after="0" w:line="240" w:lineRule="auto"/>
        <w:ind w:left="0" w:firstLine="567"/>
        <w:rPr>
          <w:rFonts w:eastAsia="Times New Roman"/>
          <w:iCs/>
          <w:color w:val="auto"/>
        </w:rPr>
      </w:pPr>
      <w:r w:rsidRPr="00BD2BDA">
        <w:rPr>
          <w:rFonts w:eastAsia="Times New Roman"/>
          <w:b/>
          <w:bCs/>
          <w:iCs/>
        </w:rPr>
        <w:t>Preparation of a scheme</w:t>
      </w:r>
    </w:p>
    <w:p w:rsidR="00BD2BDA" w:rsidRPr="00BD2BDA" w:rsidRDefault="00BD2BDA" w:rsidP="00BD2BDA">
      <w:pPr>
        <w:spacing w:after="0" w:line="240" w:lineRule="auto"/>
        <w:ind w:left="0" w:firstLine="567"/>
        <w:rPr>
          <w:rFonts w:eastAsiaTheme="minorHAnsi"/>
          <w:color w:val="auto"/>
        </w:rPr>
      </w:pPr>
      <w:r w:rsidRPr="00BD2BDA">
        <w:rPr>
          <w:rFonts w:eastAsia="Times New Roman"/>
        </w:rPr>
        <w:t>3(1) Before making a scheme, the authority must (in the following order)</w:t>
      </w:r>
    </w:p>
    <w:p w:rsidR="00BD2BDA" w:rsidRPr="00BD2BDA" w:rsidRDefault="00BD2BDA" w:rsidP="00BD2BDA">
      <w:pPr>
        <w:spacing w:after="0" w:line="240" w:lineRule="auto"/>
        <w:ind w:left="0" w:firstLine="567"/>
        <w:rPr>
          <w:rFonts w:eastAsia="Times New Roman"/>
          <w:color w:val="auto"/>
        </w:rPr>
      </w:pPr>
      <w:r w:rsidRPr="00BD2BDA">
        <w:rPr>
          <w:rFonts w:eastAsia="Times New Roman"/>
        </w:rPr>
        <w:t>(a)</w:t>
      </w:r>
      <w:r w:rsidRPr="00BD2BDA">
        <w:rPr>
          <w:rFonts w:eastAsia="Times New Roman"/>
          <w:b/>
          <w:bCs/>
        </w:rPr>
        <w:t xml:space="preserve"> consult any major precepting authority </w:t>
      </w:r>
      <w:r w:rsidRPr="00BD2BDA">
        <w:rPr>
          <w:rFonts w:eastAsia="Times New Roman"/>
        </w:rPr>
        <w:t>which has power to issue a precept to it,</w:t>
      </w:r>
    </w:p>
    <w:p w:rsidR="00BD2BDA" w:rsidRPr="00BD2BDA" w:rsidRDefault="00BD2BDA" w:rsidP="00BD2BDA">
      <w:pPr>
        <w:spacing w:after="0" w:line="240" w:lineRule="auto"/>
        <w:ind w:left="0" w:firstLine="567"/>
        <w:rPr>
          <w:rFonts w:eastAsia="Times New Roman"/>
          <w:color w:val="auto"/>
        </w:rPr>
      </w:pPr>
      <w:r w:rsidRPr="00BD2BDA">
        <w:rPr>
          <w:rFonts w:eastAsia="Times New Roman"/>
        </w:rPr>
        <w:t>(b) publish a draft scheme in such manner as it thinks fit, and</w:t>
      </w:r>
    </w:p>
    <w:p w:rsidR="00BD2BDA" w:rsidRPr="00BD2BDA" w:rsidRDefault="00BD2BDA" w:rsidP="00BD2BDA">
      <w:pPr>
        <w:spacing w:after="0" w:line="240" w:lineRule="auto"/>
        <w:ind w:left="567" w:firstLine="0"/>
        <w:rPr>
          <w:rFonts w:eastAsia="Times New Roman"/>
          <w:color w:val="auto"/>
        </w:rPr>
      </w:pPr>
      <w:r w:rsidRPr="00BD2BDA">
        <w:rPr>
          <w:rFonts w:eastAsia="Times New Roman"/>
        </w:rPr>
        <w:t>(</w:t>
      </w:r>
      <w:r>
        <w:rPr>
          <w:rFonts w:eastAsia="Times New Roman"/>
        </w:rPr>
        <w:t>c</w:t>
      </w:r>
      <w:r w:rsidRPr="00BD2BDA">
        <w:rPr>
          <w:rFonts w:eastAsia="Times New Roman"/>
        </w:rPr>
        <w:t>)</w:t>
      </w:r>
      <w:r>
        <w:rPr>
          <w:rFonts w:eastAsia="Times New Roman"/>
        </w:rPr>
        <w:t xml:space="preserve"> </w:t>
      </w:r>
      <w:r w:rsidRPr="00BD2BDA">
        <w:rPr>
          <w:rFonts w:eastAsia="Times New Roman"/>
          <w:b/>
          <w:bCs/>
        </w:rPr>
        <w:t>consult such other persons</w:t>
      </w:r>
      <w:r w:rsidRPr="00BD2BDA">
        <w:rPr>
          <w:rFonts w:eastAsia="Times New Roman"/>
        </w:rPr>
        <w:t> as it considers are likely to have an interest in the operation of the scheme.</w:t>
      </w:r>
    </w:p>
    <w:p w:rsidR="00BD2BDA" w:rsidRPr="00BD2BDA" w:rsidRDefault="00BD2BDA" w:rsidP="00BD2BDA">
      <w:pPr>
        <w:spacing w:after="0" w:line="240" w:lineRule="auto"/>
        <w:ind w:left="567" w:firstLine="0"/>
        <w:rPr>
          <w:rFonts w:eastAsia="Times New Roman"/>
          <w:color w:val="auto"/>
        </w:rPr>
      </w:pPr>
      <w:r w:rsidRPr="00BD2BDA">
        <w:rPr>
          <w:rFonts w:eastAsia="Times New Roman"/>
        </w:rPr>
        <w:t>(2)The fact that this paragraph was not in force when any step described in sub-paragraph (1) was taken is to be disregarded in determining whether there has been compliance with that sub-paragraph.</w:t>
      </w:r>
    </w:p>
    <w:p w:rsidR="00BD2BDA" w:rsidRPr="00BD2BDA" w:rsidRDefault="00BD2BDA" w:rsidP="00BD2BDA">
      <w:pPr>
        <w:spacing w:after="0" w:line="240" w:lineRule="auto"/>
        <w:ind w:left="567" w:firstLine="0"/>
        <w:rPr>
          <w:rFonts w:eastAsia="Times New Roman"/>
          <w:color w:val="auto"/>
        </w:rPr>
      </w:pPr>
      <w:r w:rsidRPr="00BD2BDA">
        <w:rPr>
          <w:rFonts w:eastAsia="Times New Roman"/>
        </w:rPr>
        <w:t>(3)Having made a scheme, the authority must publish it in such manner as the authority thinks fit.</w:t>
      </w:r>
    </w:p>
    <w:p w:rsidR="00BD2BDA" w:rsidRPr="00BD2BDA" w:rsidRDefault="00BD2BDA" w:rsidP="00BD2BDA">
      <w:pPr>
        <w:spacing w:after="0" w:line="240" w:lineRule="auto"/>
        <w:ind w:left="0" w:firstLine="0"/>
        <w:rPr>
          <w:rFonts w:eastAsia="Times New Roman"/>
          <w:color w:val="auto"/>
        </w:rPr>
      </w:pPr>
    </w:p>
    <w:p w:rsidR="00BD2BDA" w:rsidRPr="00BD2BDA" w:rsidRDefault="00BD2BDA" w:rsidP="00BD2BDA">
      <w:pPr>
        <w:spacing w:after="0" w:line="240" w:lineRule="auto"/>
        <w:ind w:left="0" w:firstLine="567"/>
        <w:rPr>
          <w:rFonts w:eastAsia="Times New Roman"/>
          <w:color w:val="auto"/>
        </w:rPr>
      </w:pPr>
      <w:r w:rsidRPr="00BD2BDA">
        <w:rPr>
          <w:rFonts w:eastAsia="Times New Roman"/>
          <w:color w:val="auto"/>
        </w:rPr>
        <w:t>It also states that for a replacement scheme</w:t>
      </w:r>
    </w:p>
    <w:p w:rsidR="00BD2BDA" w:rsidRPr="00BD2BDA" w:rsidRDefault="00BD2BDA" w:rsidP="00BD2BDA">
      <w:pPr>
        <w:spacing w:after="0" w:line="240" w:lineRule="auto"/>
        <w:ind w:left="0" w:firstLine="0"/>
        <w:rPr>
          <w:rFonts w:eastAsia="Times New Roman"/>
          <w:color w:val="auto"/>
        </w:rPr>
      </w:pPr>
    </w:p>
    <w:p w:rsidR="00BD2BDA" w:rsidRPr="00BD2BDA" w:rsidRDefault="00BD2BDA" w:rsidP="00BD2BDA">
      <w:pPr>
        <w:spacing w:after="0" w:line="240" w:lineRule="auto"/>
        <w:ind w:left="0" w:firstLine="567"/>
        <w:rPr>
          <w:rFonts w:eastAsia="Times New Roman"/>
          <w:iCs/>
          <w:color w:val="auto"/>
        </w:rPr>
      </w:pPr>
      <w:r w:rsidRPr="00BD2BDA">
        <w:rPr>
          <w:rFonts w:eastAsia="Times New Roman"/>
          <w:b/>
          <w:bCs/>
          <w:iCs/>
        </w:rPr>
        <w:t>Revisions to and replacement of scheme</w:t>
      </w:r>
    </w:p>
    <w:p w:rsidR="00BD2BDA" w:rsidRPr="00BD2BDA" w:rsidRDefault="00BD2BDA" w:rsidP="00BD2BDA">
      <w:pPr>
        <w:spacing w:after="0" w:line="240" w:lineRule="auto"/>
        <w:ind w:left="567" w:firstLine="0"/>
        <w:rPr>
          <w:rFonts w:eastAsiaTheme="minorHAnsi"/>
          <w:color w:val="auto"/>
        </w:rPr>
      </w:pPr>
      <w:r w:rsidRPr="00BD2BDA">
        <w:rPr>
          <w:rFonts w:eastAsia="Times New Roman"/>
        </w:rPr>
        <w:t>5(1) For each financial year, each billing authority must consider whether to revise its scheme or to replace it with another scheme.</w:t>
      </w:r>
    </w:p>
    <w:p w:rsidR="00BD2BDA" w:rsidRPr="00BD2BDA" w:rsidRDefault="00BD2BDA" w:rsidP="00BD2BDA">
      <w:pPr>
        <w:spacing w:after="0" w:line="240" w:lineRule="auto"/>
        <w:ind w:left="567" w:firstLine="0"/>
        <w:rPr>
          <w:rFonts w:eastAsia="Times New Roman"/>
          <w:color w:val="auto"/>
        </w:rPr>
      </w:pPr>
      <w:r w:rsidRPr="00BD2BDA">
        <w:rPr>
          <w:rFonts w:eastAsia="Times New Roman"/>
        </w:rPr>
        <w:t>(2)The authority must make any revision to its scheme, or any replacement scheme, no later than 11th March in the financial year preceding that for which the revision or replacement scheme is to have effect.</w:t>
      </w:r>
    </w:p>
    <w:p w:rsidR="00BD2BDA" w:rsidRPr="00BD2BDA" w:rsidRDefault="00BD2BDA" w:rsidP="00BD2BDA">
      <w:pPr>
        <w:spacing w:after="0" w:line="240" w:lineRule="auto"/>
        <w:ind w:left="567" w:firstLine="0"/>
        <w:rPr>
          <w:rFonts w:eastAsia="Times New Roman"/>
          <w:color w:val="auto"/>
        </w:rPr>
      </w:pPr>
      <w:r w:rsidRPr="00BD2BDA">
        <w:rPr>
          <w:rFonts w:eastAsia="Times New Roman"/>
        </w:rPr>
        <w:t>(3)The Secretary of State may by order amend sub-paragraph </w:t>
      </w:r>
      <w:hyperlink r:id="rId9" w:anchor="p00233" w:tgtFrame="_blank" w:tooltip="Go to 1 Revisions to and replacement of scheme (2) in SCHEDULE 4, Part 1" w:history="1">
        <w:r w:rsidRPr="00BD2BDA">
          <w:rPr>
            <w:rFonts w:eastAsia="Times New Roman"/>
            <w:color w:val="2790C4"/>
          </w:rPr>
          <w:t>(2)</w:t>
        </w:r>
      </w:hyperlink>
      <w:r w:rsidRPr="00BD2BDA">
        <w:rPr>
          <w:rFonts w:eastAsia="Times New Roman"/>
        </w:rPr>
        <w:t> by substituting a different date.</w:t>
      </w:r>
    </w:p>
    <w:p w:rsidR="00BD2BDA" w:rsidRPr="00BD2BDA" w:rsidRDefault="00BD2BDA" w:rsidP="00BD2BDA">
      <w:pPr>
        <w:spacing w:after="0" w:line="240" w:lineRule="auto"/>
        <w:ind w:left="567" w:firstLine="0"/>
        <w:rPr>
          <w:rFonts w:eastAsia="Times New Roman"/>
          <w:color w:val="auto"/>
        </w:rPr>
      </w:pPr>
      <w:r w:rsidRPr="00BD2BDA">
        <w:rPr>
          <w:rFonts w:eastAsia="Times New Roman"/>
        </w:rPr>
        <w:t xml:space="preserve">(4)If any revision to a scheme, or any replacement scheme, has the effect of reducing or removing a reduction to which any class of persons is entitled, the </w:t>
      </w:r>
      <w:r w:rsidRPr="00BD2BDA">
        <w:rPr>
          <w:rFonts w:eastAsia="Times New Roman"/>
        </w:rPr>
        <w:lastRenderedPageBreak/>
        <w:t>revision or replacement must include such transitional provision relating to that reduction or removal as the authority thinks fit.</w:t>
      </w:r>
    </w:p>
    <w:p w:rsidR="00BD2BDA" w:rsidRPr="00BD2BDA" w:rsidRDefault="00BD2BDA" w:rsidP="00BD2BDA">
      <w:pPr>
        <w:spacing w:after="0" w:line="240" w:lineRule="auto"/>
        <w:ind w:left="567" w:firstLine="0"/>
        <w:rPr>
          <w:rFonts w:eastAsia="Times New Roman"/>
          <w:color w:val="auto"/>
        </w:rPr>
      </w:pPr>
      <w:r w:rsidRPr="00BD2BDA">
        <w:rPr>
          <w:rFonts w:eastAsia="Times New Roman"/>
        </w:rPr>
        <w:t>(5)</w:t>
      </w:r>
      <w:r w:rsidRPr="00BD2BDA">
        <w:rPr>
          <w:rFonts w:eastAsia="Times New Roman"/>
          <w:b/>
          <w:bCs/>
          <w:color w:val="auto"/>
        </w:rPr>
        <w:t>Paragraph </w:t>
      </w:r>
      <w:hyperlink r:id="rId10" w:anchor="p00231" w:tgtFrame="_blank" w:tooltip="Go to 3 Preparation of a scheme 1 Preparation of a scheme  in SCHEDULE 4, Part 1" w:history="1">
        <w:r w:rsidRPr="00BD2BDA">
          <w:rPr>
            <w:rFonts w:eastAsia="Times New Roman"/>
            <w:b/>
            <w:bCs/>
            <w:color w:val="auto"/>
          </w:rPr>
          <w:t>3</w:t>
        </w:r>
      </w:hyperlink>
      <w:r w:rsidRPr="00BD2BDA">
        <w:rPr>
          <w:rFonts w:eastAsia="Times New Roman"/>
          <w:b/>
          <w:bCs/>
        </w:rPr>
        <w:t> applies to an authority when revising a scheme as it applies to an authority when making a scheme.</w:t>
      </w:r>
    </w:p>
    <w:p w:rsidR="00BD2BDA" w:rsidRPr="00BD2BDA" w:rsidRDefault="00BD2BDA" w:rsidP="00BD2BDA">
      <w:pPr>
        <w:spacing w:after="0" w:line="240" w:lineRule="auto"/>
        <w:ind w:left="0" w:firstLine="567"/>
        <w:rPr>
          <w:rFonts w:eastAsia="Times New Roman"/>
          <w:color w:val="auto"/>
        </w:rPr>
      </w:pPr>
      <w:r w:rsidRPr="00BD2BDA">
        <w:rPr>
          <w:rFonts w:eastAsia="Times New Roman"/>
          <w:b/>
          <w:bCs/>
        </w:rPr>
        <w:t>(6)References in this Part to a scheme include a replacement scheme.</w:t>
      </w:r>
    </w:p>
    <w:p w:rsidR="00BD2BDA" w:rsidRPr="00BD2BDA" w:rsidRDefault="00BD2BDA" w:rsidP="00BD2BDA">
      <w:pPr>
        <w:spacing w:after="0" w:line="240" w:lineRule="auto"/>
        <w:ind w:left="0" w:firstLine="0"/>
        <w:rPr>
          <w:rFonts w:eastAsia="Times New Roman"/>
          <w:color w:val="auto"/>
        </w:rPr>
      </w:pPr>
    </w:p>
    <w:p w:rsidR="00BD2BDA" w:rsidRDefault="00BD2BDA" w:rsidP="00BD2BDA">
      <w:pPr>
        <w:spacing w:after="0" w:line="240" w:lineRule="auto"/>
        <w:ind w:left="567" w:firstLine="0"/>
        <w:rPr>
          <w:rFonts w:eastAsia="Times New Roman"/>
          <w:color w:val="auto"/>
        </w:rPr>
      </w:pPr>
      <w:r w:rsidRPr="00BD2BDA">
        <w:rPr>
          <w:rFonts w:eastAsia="Times New Roman"/>
          <w:color w:val="auto"/>
        </w:rPr>
        <w:t>The LGA and Local Government Lawyer have published various advice papers on the subject of consultation, including a consultation checklist. The LGA does advise that consultation may not always be necessary e.g. where consultee comments will not add to the process, or a decision has been made and consultation would gain nothing further. As the South Ribble scheme has remained unchanged since April 2013, there has been no further annual consultation carried out since the original consultation exercise of 2012.</w:t>
      </w:r>
    </w:p>
    <w:p w:rsidR="00A67100" w:rsidRDefault="00A67100" w:rsidP="00BD2BDA">
      <w:pPr>
        <w:spacing w:after="0" w:line="240" w:lineRule="auto"/>
        <w:ind w:left="567" w:firstLine="0"/>
        <w:rPr>
          <w:rFonts w:eastAsia="Times New Roman"/>
          <w:color w:val="auto"/>
        </w:rPr>
      </w:pPr>
    </w:p>
    <w:p w:rsidR="003E04CD" w:rsidRPr="003E04CD" w:rsidRDefault="003E04CD" w:rsidP="003E04CD">
      <w:pPr>
        <w:ind w:left="567" w:hanging="567"/>
        <w:rPr>
          <w:rFonts w:eastAsia="Times New Roman"/>
          <w:b/>
          <w:color w:val="2E74B5" w:themeColor="accent1" w:themeShade="BF"/>
          <w:szCs w:val="20"/>
        </w:rPr>
      </w:pPr>
      <w:r>
        <w:rPr>
          <w:rFonts w:eastAsia="Times New Roman"/>
          <w:color w:val="auto"/>
        </w:rPr>
        <w:t>7.3</w:t>
      </w:r>
      <w:r>
        <w:rPr>
          <w:rFonts w:eastAsia="Times New Roman"/>
          <w:color w:val="auto"/>
        </w:rPr>
        <w:tab/>
      </w:r>
      <w:r w:rsidRPr="003E04CD">
        <w:rPr>
          <w:rFonts w:eastAsia="Times New Roman"/>
          <w:color w:val="auto"/>
          <w:szCs w:val="20"/>
        </w:rPr>
        <w:t>Detailed proposals regarding consultation including process, methodology and timetable will be presented to Cabinet</w:t>
      </w:r>
      <w:r>
        <w:rPr>
          <w:rFonts w:eastAsia="Times New Roman"/>
          <w:color w:val="auto"/>
          <w:szCs w:val="20"/>
        </w:rPr>
        <w:t xml:space="preserve"> and Council</w:t>
      </w:r>
      <w:r w:rsidRPr="003E04CD">
        <w:rPr>
          <w:rFonts w:eastAsia="Times New Roman"/>
          <w:color w:val="auto"/>
          <w:szCs w:val="20"/>
        </w:rPr>
        <w:t xml:space="preserve"> </w:t>
      </w:r>
      <w:r>
        <w:rPr>
          <w:rFonts w:eastAsia="Times New Roman"/>
          <w:color w:val="auto"/>
          <w:szCs w:val="20"/>
        </w:rPr>
        <w:t xml:space="preserve">during the first quarter of </w:t>
      </w:r>
      <w:r w:rsidRPr="003E04CD">
        <w:rPr>
          <w:rFonts w:eastAsia="Times New Roman"/>
          <w:color w:val="auto"/>
          <w:szCs w:val="20"/>
        </w:rPr>
        <w:t>2019</w:t>
      </w:r>
      <w:r>
        <w:rPr>
          <w:rFonts w:eastAsia="Times New Roman"/>
          <w:color w:val="auto"/>
          <w:szCs w:val="20"/>
        </w:rPr>
        <w:t>/20</w:t>
      </w:r>
      <w:r w:rsidRPr="003E04CD">
        <w:rPr>
          <w:rFonts w:eastAsia="Times New Roman"/>
          <w:color w:val="auto"/>
          <w:szCs w:val="20"/>
        </w:rPr>
        <w:t xml:space="preserve">.      </w:t>
      </w:r>
    </w:p>
    <w:p w:rsidR="004A304D" w:rsidRDefault="004A304D" w:rsidP="003E04CD">
      <w:pPr>
        <w:spacing w:after="0" w:line="240" w:lineRule="auto"/>
        <w:ind w:left="567" w:hanging="567"/>
        <w:rPr>
          <w:rFonts w:eastAsia="Times New Roman"/>
          <w:color w:val="auto"/>
        </w:rPr>
      </w:pPr>
    </w:p>
    <w:p w:rsidR="004E3EB6" w:rsidRPr="004A0A15" w:rsidRDefault="00B9190E" w:rsidP="002D0E8A">
      <w:pPr>
        <w:spacing w:after="0" w:line="240" w:lineRule="auto"/>
        <w:ind w:left="567" w:hanging="567"/>
        <w:rPr>
          <w:rFonts w:eastAsia="Times New Roman"/>
          <w:b/>
          <w:caps/>
          <w:color w:val="auto"/>
        </w:rPr>
      </w:pPr>
      <w:r w:rsidRPr="004A0A15">
        <w:rPr>
          <w:rFonts w:eastAsia="Times New Roman"/>
          <w:b/>
          <w:caps/>
          <w:color w:val="auto"/>
        </w:rPr>
        <w:t>8</w:t>
      </w:r>
      <w:r w:rsidR="00134039" w:rsidRPr="004A0A15">
        <w:rPr>
          <w:rFonts w:eastAsia="Times New Roman"/>
          <w:b/>
          <w:caps/>
          <w:color w:val="auto"/>
        </w:rPr>
        <w:t xml:space="preserve">. </w:t>
      </w:r>
      <w:r w:rsidR="002D0E8A">
        <w:rPr>
          <w:rFonts w:eastAsia="Times New Roman"/>
          <w:b/>
          <w:caps/>
          <w:color w:val="auto"/>
        </w:rPr>
        <w:tab/>
      </w:r>
      <w:r w:rsidR="004E3EB6" w:rsidRPr="004A0A15">
        <w:rPr>
          <w:rFonts w:eastAsia="Times New Roman"/>
          <w:b/>
          <w:caps/>
          <w:color w:val="auto"/>
        </w:rPr>
        <w:t xml:space="preserve">Financial implications </w:t>
      </w:r>
    </w:p>
    <w:p w:rsidR="004E3EB6" w:rsidRPr="004A0A15" w:rsidRDefault="004E3EB6" w:rsidP="004E3EB6">
      <w:pPr>
        <w:spacing w:after="0" w:line="240" w:lineRule="auto"/>
        <w:ind w:left="0" w:firstLine="0"/>
        <w:rPr>
          <w:rFonts w:eastAsia="Times New Roman"/>
          <w:b/>
          <w:caps/>
          <w:color w:val="auto"/>
        </w:rPr>
      </w:pPr>
    </w:p>
    <w:p w:rsidR="00B9190E" w:rsidRPr="004A0A15" w:rsidRDefault="00B9190E" w:rsidP="008E27E8">
      <w:pPr>
        <w:pStyle w:val="NoSpacing"/>
        <w:ind w:left="567" w:hanging="567"/>
        <w:rPr>
          <w:color w:val="auto"/>
        </w:rPr>
      </w:pPr>
      <w:r w:rsidRPr="004A0A15">
        <w:rPr>
          <w:rFonts w:eastAsia="Times New Roman"/>
          <w:color w:val="auto"/>
        </w:rPr>
        <w:t>8</w:t>
      </w:r>
      <w:r w:rsidR="004E3EB6" w:rsidRPr="004A0A15">
        <w:rPr>
          <w:rFonts w:eastAsia="Times New Roman"/>
          <w:color w:val="auto"/>
        </w:rPr>
        <w:t>.1</w:t>
      </w:r>
      <w:r w:rsidR="004E3EB6" w:rsidRPr="004A0A15">
        <w:rPr>
          <w:rFonts w:eastAsia="Times New Roman"/>
          <w:color w:val="auto"/>
        </w:rPr>
        <w:tab/>
      </w:r>
      <w:r w:rsidR="00244F52" w:rsidRPr="004A0A15">
        <w:rPr>
          <w:rFonts w:eastAsia="Times New Roman"/>
          <w:color w:val="auto"/>
        </w:rPr>
        <w:t xml:space="preserve">The financial implications of the </w:t>
      </w:r>
      <w:r w:rsidR="004A0A15" w:rsidRPr="004A0A15">
        <w:rPr>
          <w:rFonts w:eastAsia="Times New Roman"/>
          <w:color w:val="auto"/>
        </w:rPr>
        <w:t>4</w:t>
      </w:r>
      <w:r w:rsidR="00244F52" w:rsidRPr="004A0A15">
        <w:rPr>
          <w:rFonts w:eastAsia="Times New Roman"/>
          <w:color w:val="auto"/>
        </w:rPr>
        <w:t xml:space="preserve"> options are considered in terms of scheme costs (i.e. amount of Council </w:t>
      </w:r>
      <w:r w:rsidR="00A0423B" w:rsidRPr="004A0A15">
        <w:rPr>
          <w:rFonts w:eastAsia="Times New Roman"/>
          <w:color w:val="auto"/>
        </w:rPr>
        <w:t>T</w:t>
      </w:r>
      <w:r w:rsidR="00244F52" w:rsidRPr="004A0A15">
        <w:rPr>
          <w:rFonts w:eastAsia="Times New Roman"/>
          <w:color w:val="auto"/>
        </w:rPr>
        <w:t xml:space="preserve">ax </w:t>
      </w:r>
      <w:r w:rsidR="00A0423B" w:rsidRPr="004A0A15">
        <w:rPr>
          <w:rFonts w:eastAsia="Times New Roman"/>
          <w:color w:val="auto"/>
        </w:rPr>
        <w:t>D</w:t>
      </w:r>
      <w:r w:rsidR="00244F52" w:rsidRPr="004A0A15">
        <w:rPr>
          <w:rFonts w:eastAsia="Times New Roman"/>
          <w:color w:val="auto"/>
        </w:rPr>
        <w:t xml:space="preserve">iscount) in the body of the report. </w:t>
      </w:r>
      <w:r w:rsidR="0021423D" w:rsidRPr="004A0A15">
        <w:rPr>
          <w:rFonts w:eastAsia="Times New Roman"/>
          <w:color w:val="auto"/>
        </w:rPr>
        <w:t>C</w:t>
      </w:r>
      <w:r w:rsidR="0021423D" w:rsidRPr="004A0A15">
        <w:rPr>
          <w:color w:val="auto"/>
        </w:rPr>
        <w:t xml:space="preserve">ompared to the current scheme, removal of the £3.50/week minimum payment </w:t>
      </w:r>
      <w:r w:rsidR="00E22DAB" w:rsidRPr="004A0A15">
        <w:rPr>
          <w:color w:val="auto"/>
        </w:rPr>
        <w:t>and removal of a minimum deduction for those in the lowest band</w:t>
      </w:r>
      <w:r w:rsidRPr="004A0A15">
        <w:rPr>
          <w:color w:val="auto"/>
        </w:rPr>
        <w:t xml:space="preserve"> under the banded scheme</w:t>
      </w:r>
      <w:r w:rsidR="0021423D" w:rsidRPr="004A0A15">
        <w:rPr>
          <w:color w:val="auto"/>
        </w:rPr>
        <w:t xml:space="preserve"> would </w:t>
      </w:r>
      <w:r w:rsidRPr="004A0A15">
        <w:rPr>
          <w:color w:val="auto"/>
        </w:rPr>
        <w:t xml:space="preserve">both </w:t>
      </w:r>
      <w:r w:rsidR="0021423D" w:rsidRPr="004A0A15">
        <w:rPr>
          <w:color w:val="auto"/>
        </w:rPr>
        <w:t>in</w:t>
      </w:r>
      <w:r w:rsidR="00E22DAB" w:rsidRPr="004A0A15">
        <w:rPr>
          <w:color w:val="auto"/>
        </w:rPr>
        <w:t>crease the cost to the Council</w:t>
      </w:r>
    </w:p>
    <w:p w:rsidR="00B9190E" w:rsidRPr="00A67100" w:rsidRDefault="00B9190E" w:rsidP="008E27E8">
      <w:pPr>
        <w:pStyle w:val="NoSpacing"/>
        <w:ind w:left="567" w:hanging="567"/>
        <w:rPr>
          <w:color w:val="FF0000"/>
        </w:rPr>
      </w:pPr>
    </w:p>
    <w:p w:rsidR="00244F52" w:rsidRDefault="00244F52" w:rsidP="00B9190E">
      <w:pPr>
        <w:pStyle w:val="NoSpacing"/>
        <w:ind w:left="567" w:firstLine="0"/>
        <w:rPr>
          <w:color w:val="auto"/>
        </w:rPr>
      </w:pPr>
      <w:r>
        <w:rPr>
          <w:color w:val="auto"/>
        </w:rPr>
        <w:t>Please note that as</w:t>
      </w:r>
      <w:r w:rsidR="0021423D">
        <w:rPr>
          <w:color w:val="auto"/>
        </w:rPr>
        <w:t xml:space="preserve"> set out in the modelling documentation, the cost implications are based on a set of assumptions </w:t>
      </w:r>
      <w:r>
        <w:rPr>
          <w:color w:val="auto"/>
        </w:rPr>
        <w:t xml:space="preserve">at this point in time </w:t>
      </w:r>
      <w:r w:rsidR="0021423D">
        <w:rPr>
          <w:color w:val="auto"/>
        </w:rPr>
        <w:t xml:space="preserve">in relation to council tax increases, the </w:t>
      </w:r>
      <w:r>
        <w:rPr>
          <w:color w:val="auto"/>
        </w:rPr>
        <w:t xml:space="preserve">anticipated </w:t>
      </w:r>
      <w:r w:rsidR="0021423D">
        <w:rPr>
          <w:color w:val="auto"/>
        </w:rPr>
        <w:t>level of migration to Universal Credit</w:t>
      </w:r>
      <w:r>
        <w:rPr>
          <w:color w:val="auto"/>
        </w:rPr>
        <w:t xml:space="preserve">, </w:t>
      </w:r>
      <w:r w:rsidR="0021423D">
        <w:rPr>
          <w:color w:val="auto"/>
        </w:rPr>
        <w:t xml:space="preserve">changes in National Living Wage and taxation. They are therefore indicative </w:t>
      </w:r>
      <w:r>
        <w:rPr>
          <w:color w:val="auto"/>
        </w:rPr>
        <w:t>and form part of the overall potential implications of each option, both on the Council and claimants.</w:t>
      </w:r>
    </w:p>
    <w:p w:rsidR="0021423D" w:rsidRPr="0021423D" w:rsidRDefault="00244F52" w:rsidP="0021423D">
      <w:pPr>
        <w:pStyle w:val="NoSpacing"/>
        <w:ind w:left="0" w:firstLine="0"/>
      </w:pPr>
      <w:r>
        <w:rPr>
          <w:color w:val="auto"/>
        </w:rPr>
        <w:t xml:space="preserve"> </w:t>
      </w:r>
      <w:r w:rsidR="0021423D">
        <w:rPr>
          <w:color w:val="auto"/>
        </w:rPr>
        <w:t xml:space="preserve">      </w:t>
      </w:r>
    </w:p>
    <w:p w:rsidR="004A0A15" w:rsidRDefault="004A0A15" w:rsidP="004A0A15">
      <w:pPr>
        <w:spacing w:after="0" w:line="240" w:lineRule="auto"/>
        <w:ind w:left="567" w:hanging="567"/>
        <w:rPr>
          <w:rFonts w:eastAsia="Times New Roman" w:cs="Times New Roman"/>
          <w:color w:val="auto"/>
          <w:szCs w:val="20"/>
        </w:rPr>
      </w:pPr>
      <w:r>
        <w:rPr>
          <w:rFonts w:eastAsia="Times New Roman"/>
          <w:color w:val="auto"/>
        </w:rPr>
        <w:t xml:space="preserve">8.2 </w:t>
      </w:r>
      <w:r>
        <w:rPr>
          <w:rFonts w:eastAsia="Times New Roman"/>
          <w:color w:val="auto"/>
        </w:rPr>
        <w:tab/>
      </w:r>
      <w:r w:rsidR="004E3EB6" w:rsidRPr="004E3EB6">
        <w:rPr>
          <w:rFonts w:eastAsia="Times New Roman"/>
          <w:color w:val="auto"/>
        </w:rPr>
        <w:t>The net financial impact for South Ribble Borough Council and any preceptors as a result of potential change</w:t>
      </w:r>
      <w:r>
        <w:rPr>
          <w:rFonts w:eastAsia="Times New Roman"/>
          <w:color w:val="auto"/>
        </w:rPr>
        <w:t xml:space="preserve">s is as apportioned below. </w:t>
      </w:r>
      <w:r>
        <w:rPr>
          <w:rFonts w:eastAsia="Times New Roman" w:cs="Times New Roman"/>
          <w:color w:val="auto"/>
          <w:szCs w:val="20"/>
        </w:rPr>
        <w:t xml:space="preserve">Figures quoted are for the financial year 2018/19. </w:t>
      </w:r>
    </w:p>
    <w:p w:rsidR="004A0A15" w:rsidRDefault="004A0A15" w:rsidP="004E3EB6">
      <w:pPr>
        <w:spacing w:after="0" w:line="240" w:lineRule="auto"/>
        <w:ind w:left="567" w:hanging="567"/>
        <w:rPr>
          <w:rFonts w:eastAsia="Times New Roman"/>
          <w:color w:val="auto"/>
        </w:rPr>
      </w:pPr>
    </w:p>
    <w:p w:rsidR="004A0A15" w:rsidRPr="004E3EB6" w:rsidRDefault="004A0A15" w:rsidP="004E3EB6">
      <w:pPr>
        <w:spacing w:after="0" w:line="240" w:lineRule="auto"/>
        <w:ind w:left="567" w:hanging="567"/>
        <w:rPr>
          <w:rFonts w:eastAsia="Times New Roman"/>
          <w:color w:val="auto"/>
        </w:rPr>
      </w:pPr>
    </w:p>
    <w:p w:rsidR="004E3EB6" w:rsidRDefault="004E3EB6" w:rsidP="004E3EB6">
      <w:pPr>
        <w:spacing w:after="0" w:line="240" w:lineRule="auto"/>
        <w:ind w:left="0" w:firstLine="0"/>
        <w:rPr>
          <w:rFonts w:eastAsia="Times New Roman" w:cs="Times New Roman"/>
          <w:color w:val="auto"/>
          <w:szCs w:val="20"/>
        </w:rPr>
      </w:pPr>
      <w:r w:rsidRPr="004E3EB6">
        <w:rPr>
          <w:rFonts w:eastAsia="Times New Roman" w:cs="Times New Roman"/>
          <w:noProof/>
          <w:color w:val="auto"/>
          <w:szCs w:val="20"/>
        </w:rPr>
        <w:drawing>
          <wp:inline distT="0" distB="0" distL="0" distR="0" wp14:anchorId="398657AA" wp14:editId="71DDF08B">
            <wp:extent cx="4457700" cy="30690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1396" cy="3085342"/>
                    </a:xfrm>
                    <a:prstGeom prst="rect">
                      <a:avLst/>
                    </a:prstGeom>
                    <a:noFill/>
                    <a:ln>
                      <a:noFill/>
                    </a:ln>
                  </pic:spPr>
                </pic:pic>
              </a:graphicData>
            </a:graphic>
          </wp:inline>
        </w:drawing>
      </w:r>
    </w:p>
    <w:p w:rsidR="00703A45" w:rsidRDefault="00703A45" w:rsidP="009C142B">
      <w:pPr>
        <w:spacing w:after="0" w:line="240" w:lineRule="auto"/>
        <w:ind w:left="0" w:firstLine="567"/>
        <w:rPr>
          <w:rFonts w:eastAsia="Times New Roman" w:cs="Times New Roman"/>
          <w:color w:val="auto"/>
          <w:szCs w:val="20"/>
        </w:rPr>
      </w:pPr>
    </w:p>
    <w:p w:rsidR="00703A45" w:rsidRDefault="00244F52" w:rsidP="009C142B">
      <w:pPr>
        <w:spacing w:after="0" w:line="240" w:lineRule="auto"/>
        <w:ind w:left="0" w:firstLine="567"/>
        <w:rPr>
          <w:rFonts w:eastAsia="Times New Roman" w:cs="Times New Roman"/>
          <w:color w:val="auto"/>
          <w:szCs w:val="20"/>
        </w:rPr>
      </w:pPr>
      <w:r>
        <w:rPr>
          <w:rFonts w:eastAsia="Times New Roman" w:cs="Times New Roman"/>
          <w:color w:val="auto"/>
          <w:szCs w:val="20"/>
        </w:rPr>
        <w:t>Therefore the cost implications of each option will impact on the preceptors, LCC in particular.</w:t>
      </w:r>
    </w:p>
    <w:p w:rsidR="00244F52" w:rsidRDefault="00244F52" w:rsidP="002A5CD9">
      <w:pPr>
        <w:spacing w:after="0" w:line="240" w:lineRule="auto"/>
        <w:ind w:left="567" w:firstLine="0"/>
        <w:rPr>
          <w:color w:val="auto"/>
        </w:rPr>
      </w:pPr>
      <w:r w:rsidRPr="003D647B">
        <w:rPr>
          <w:rFonts w:eastAsia="Times New Roman" w:cs="Times New Roman"/>
          <w:color w:val="auto"/>
          <w:szCs w:val="20"/>
        </w:rPr>
        <w:t>For illustrative purposes</w:t>
      </w:r>
      <w:r>
        <w:rPr>
          <w:rFonts w:eastAsia="Times New Roman" w:cs="Times New Roman"/>
          <w:color w:val="auto"/>
          <w:szCs w:val="20"/>
        </w:rPr>
        <w:t xml:space="preserve">, based on the apportionment for </w:t>
      </w:r>
      <w:r w:rsidRPr="00204AE1">
        <w:rPr>
          <w:rFonts w:eastAsia="Times New Roman" w:cs="Times New Roman"/>
          <w:color w:val="auto"/>
          <w:szCs w:val="20"/>
        </w:rPr>
        <w:t>2019</w:t>
      </w:r>
      <w:r w:rsidR="00204AE1" w:rsidRPr="00204AE1">
        <w:rPr>
          <w:rFonts w:eastAsia="Times New Roman" w:cs="Times New Roman"/>
          <w:color w:val="auto"/>
          <w:szCs w:val="20"/>
        </w:rPr>
        <w:t>/20</w:t>
      </w:r>
      <w:r w:rsidR="00204AE1">
        <w:rPr>
          <w:rFonts w:eastAsia="Times New Roman" w:cs="Times New Roman"/>
          <w:color w:val="auto"/>
          <w:szCs w:val="20"/>
        </w:rPr>
        <w:t xml:space="preserve"> (assumed as being as for 2018/19). The Income Banded Scheme with 100% maximum support (option 2) and Current Scheme with No Minimum Payment</w:t>
      </w:r>
      <w:r>
        <w:rPr>
          <w:color w:val="auto"/>
        </w:rPr>
        <w:t xml:space="preserve"> (option </w:t>
      </w:r>
      <w:r w:rsidR="004A0A15">
        <w:rPr>
          <w:color w:val="auto"/>
        </w:rPr>
        <w:t>3</w:t>
      </w:r>
      <w:r>
        <w:rPr>
          <w:color w:val="auto"/>
        </w:rPr>
        <w:t>)</w:t>
      </w:r>
      <w:r w:rsidR="00203939">
        <w:rPr>
          <w:color w:val="auto"/>
        </w:rPr>
        <w:t xml:space="preserve"> would result in </w:t>
      </w:r>
      <w:r w:rsidR="00A0423B">
        <w:rPr>
          <w:color w:val="auto"/>
        </w:rPr>
        <w:t xml:space="preserve">a forecast </w:t>
      </w:r>
      <w:r w:rsidR="00203939">
        <w:rPr>
          <w:color w:val="auto"/>
        </w:rPr>
        <w:t xml:space="preserve">loss of </w:t>
      </w:r>
      <w:r w:rsidR="00A0423B">
        <w:rPr>
          <w:color w:val="auto"/>
        </w:rPr>
        <w:t xml:space="preserve">council tax </w:t>
      </w:r>
      <w:r w:rsidR="00203939">
        <w:rPr>
          <w:color w:val="auto"/>
        </w:rPr>
        <w:t xml:space="preserve">income </w:t>
      </w:r>
      <w:r w:rsidR="00A0423B">
        <w:rPr>
          <w:color w:val="auto"/>
        </w:rPr>
        <w:t xml:space="preserve">in 2019/20 </w:t>
      </w:r>
      <w:r w:rsidR="00203939">
        <w:rPr>
          <w:color w:val="auto"/>
        </w:rPr>
        <w:t>as follows:</w:t>
      </w:r>
    </w:p>
    <w:p w:rsidR="004A0A15" w:rsidRDefault="004A0A15" w:rsidP="002A5CD9">
      <w:pPr>
        <w:spacing w:after="0" w:line="240" w:lineRule="auto"/>
        <w:ind w:left="567" w:firstLine="0"/>
        <w:rPr>
          <w:color w:val="auto"/>
        </w:rPr>
      </w:pPr>
    </w:p>
    <w:p w:rsidR="004A0A15" w:rsidRDefault="004A0A15" w:rsidP="002A5CD9">
      <w:pPr>
        <w:spacing w:after="0" w:line="240" w:lineRule="auto"/>
        <w:ind w:left="567" w:firstLine="0"/>
        <w:rPr>
          <w:color w:val="auto"/>
        </w:rPr>
      </w:pPr>
    </w:p>
    <w:tbl>
      <w:tblPr>
        <w:tblStyle w:val="TableGrid0"/>
        <w:tblW w:w="8080" w:type="dxa"/>
        <w:tblInd w:w="562" w:type="dxa"/>
        <w:tblLook w:val="04A0" w:firstRow="1" w:lastRow="0" w:firstColumn="1" w:lastColumn="0" w:noHBand="0" w:noVBand="1"/>
      </w:tblPr>
      <w:tblGrid>
        <w:gridCol w:w="3001"/>
        <w:gridCol w:w="1088"/>
        <w:gridCol w:w="1713"/>
        <w:gridCol w:w="1144"/>
        <w:gridCol w:w="1134"/>
      </w:tblGrid>
      <w:tr w:rsidR="004A0A15" w:rsidTr="004A0A15">
        <w:trPr>
          <w:trHeight w:val="470"/>
        </w:trPr>
        <w:tc>
          <w:tcPr>
            <w:tcW w:w="3001" w:type="dxa"/>
          </w:tcPr>
          <w:p w:rsidR="004A0A15" w:rsidRDefault="004A0A15" w:rsidP="004A0A15">
            <w:pPr>
              <w:spacing w:after="0" w:line="240" w:lineRule="auto"/>
              <w:ind w:left="0" w:firstLine="0"/>
              <w:rPr>
                <w:rFonts w:eastAsia="Times New Roman" w:cs="Times New Roman"/>
                <w:color w:val="auto"/>
              </w:rPr>
            </w:pPr>
          </w:p>
        </w:tc>
        <w:tc>
          <w:tcPr>
            <w:tcW w:w="1088" w:type="dxa"/>
          </w:tcPr>
          <w:p w:rsidR="004A0A15" w:rsidRPr="00FA6864" w:rsidRDefault="004A0A15" w:rsidP="004A0A15">
            <w:pPr>
              <w:spacing w:after="0" w:line="240" w:lineRule="auto"/>
              <w:ind w:left="0" w:firstLine="0"/>
              <w:jc w:val="center"/>
              <w:rPr>
                <w:rFonts w:eastAsia="Times New Roman" w:cs="Times New Roman"/>
                <w:b/>
                <w:color w:val="auto"/>
              </w:rPr>
            </w:pPr>
            <w:r w:rsidRPr="00FA6864">
              <w:rPr>
                <w:rFonts w:eastAsia="Times New Roman" w:cs="Times New Roman"/>
                <w:b/>
                <w:color w:val="auto"/>
              </w:rPr>
              <w:t>Option 1</w:t>
            </w:r>
          </w:p>
          <w:p w:rsidR="004A0A15" w:rsidRPr="00FA6864" w:rsidRDefault="004A0A15" w:rsidP="004A0A15">
            <w:pPr>
              <w:spacing w:after="0" w:line="240" w:lineRule="auto"/>
              <w:ind w:left="0"/>
              <w:jc w:val="center"/>
              <w:rPr>
                <w:rFonts w:eastAsia="Times New Roman" w:cs="Times New Roman"/>
                <w:b/>
                <w:color w:val="auto"/>
              </w:rPr>
            </w:pPr>
            <w:r w:rsidRPr="00FA6864">
              <w:rPr>
                <w:rFonts w:eastAsia="Times New Roman" w:cs="Times New Roman"/>
                <w:b/>
                <w:color w:val="auto"/>
              </w:rPr>
              <w:t>£’000</w:t>
            </w:r>
          </w:p>
        </w:tc>
        <w:tc>
          <w:tcPr>
            <w:tcW w:w="1713" w:type="dxa"/>
          </w:tcPr>
          <w:p w:rsidR="004A0A15" w:rsidRPr="00FA6864" w:rsidRDefault="004A0A15" w:rsidP="004A0A15">
            <w:pPr>
              <w:spacing w:after="0" w:line="240" w:lineRule="auto"/>
              <w:ind w:left="0" w:firstLine="0"/>
              <w:jc w:val="center"/>
              <w:rPr>
                <w:rFonts w:eastAsia="Times New Roman" w:cs="Times New Roman"/>
                <w:b/>
                <w:color w:val="auto"/>
              </w:rPr>
            </w:pPr>
            <w:r w:rsidRPr="00FA6864">
              <w:rPr>
                <w:rFonts w:eastAsia="Times New Roman" w:cs="Times New Roman"/>
                <w:b/>
                <w:color w:val="auto"/>
              </w:rPr>
              <w:t>Option 2</w:t>
            </w:r>
          </w:p>
          <w:p w:rsidR="004A0A15" w:rsidRPr="00FA6864" w:rsidRDefault="004A0A15" w:rsidP="004A0A15">
            <w:pPr>
              <w:spacing w:after="0" w:line="240" w:lineRule="auto"/>
              <w:ind w:left="0"/>
              <w:jc w:val="center"/>
              <w:rPr>
                <w:rFonts w:eastAsia="Times New Roman" w:cs="Times New Roman"/>
                <w:b/>
                <w:color w:val="auto"/>
              </w:rPr>
            </w:pPr>
            <w:r w:rsidRPr="00FA6864">
              <w:rPr>
                <w:rFonts w:eastAsia="Times New Roman" w:cs="Times New Roman"/>
                <w:b/>
                <w:color w:val="auto"/>
              </w:rPr>
              <w:t>£’000</w:t>
            </w:r>
          </w:p>
        </w:tc>
        <w:tc>
          <w:tcPr>
            <w:tcW w:w="1144" w:type="dxa"/>
          </w:tcPr>
          <w:p w:rsidR="004A0A15" w:rsidRPr="00FA6864" w:rsidRDefault="004A0A15" w:rsidP="004A0A15">
            <w:pPr>
              <w:spacing w:after="0" w:line="240" w:lineRule="auto"/>
              <w:ind w:left="0" w:firstLine="0"/>
              <w:jc w:val="center"/>
              <w:rPr>
                <w:rFonts w:eastAsia="Times New Roman" w:cs="Times New Roman"/>
                <w:b/>
                <w:color w:val="auto"/>
              </w:rPr>
            </w:pPr>
            <w:r w:rsidRPr="00FA6864">
              <w:rPr>
                <w:rFonts w:eastAsia="Times New Roman" w:cs="Times New Roman"/>
                <w:b/>
                <w:color w:val="auto"/>
              </w:rPr>
              <w:t xml:space="preserve">Option </w:t>
            </w:r>
            <w:r>
              <w:rPr>
                <w:rFonts w:eastAsia="Times New Roman" w:cs="Times New Roman"/>
                <w:b/>
                <w:color w:val="auto"/>
              </w:rPr>
              <w:t>3</w:t>
            </w:r>
          </w:p>
          <w:p w:rsidR="004A0A15" w:rsidRPr="00FA6864" w:rsidRDefault="004A0A15" w:rsidP="004A0A15">
            <w:pPr>
              <w:spacing w:after="0" w:line="240" w:lineRule="auto"/>
              <w:ind w:left="0"/>
              <w:jc w:val="center"/>
              <w:rPr>
                <w:rFonts w:eastAsia="Times New Roman" w:cs="Times New Roman"/>
                <w:b/>
                <w:color w:val="auto"/>
              </w:rPr>
            </w:pPr>
            <w:r w:rsidRPr="00FA6864">
              <w:rPr>
                <w:rFonts w:eastAsia="Times New Roman" w:cs="Times New Roman"/>
                <w:b/>
                <w:color w:val="auto"/>
              </w:rPr>
              <w:t>£’000</w:t>
            </w:r>
          </w:p>
        </w:tc>
        <w:tc>
          <w:tcPr>
            <w:tcW w:w="1134" w:type="dxa"/>
          </w:tcPr>
          <w:p w:rsidR="004A0A15" w:rsidRPr="00FA6864" w:rsidRDefault="004A0A15" w:rsidP="004A0A15">
            <w:pPr>
              <w:spacing w:after="0" w:line="240" w:lineRule="auto"/>
              <w:ind w:left="0" w:firstLine="0"/>
              <w:jc w:val="center"/>
              <w:rPr>
                <w:rFonts w:eastAsia="Times New Roman" w:cs="Times New Roman"/>
                <w:b/>
                <w:color w:val="auto"/>
              </w:rPr>
            </w:pPr>
            <w:r w:rsidRPr="00FA6864">
              <w:rPr>
                <w:rFonts w:eastAsia="Times New Roman" w:cs="Times New Roman"/>
                <w:b/>
                <w:color w:val="auto"/>
              </w:rPr>
              <w:t>Option 4</w:t>
            </w:r>
          </w:p>
          <w:p w:rsidR="004A0A15" w:rsidRPr="00FA6864" w:rsidRDefault="004A0A15" w:rsidP="004A0A15">
            <w:pPr>
              <w:spacing w:after="0" w:line="240" w:lineRule="auto"/>
              <w:ind w:left="0"/>
              <w:jc w:val="center"/>
              <w:rPr>
                <w:rFonts w:eastAsia="Times New Roman" w:cs="Times New Roman"/>
                <w:b/>
                <w:color w:val="auto"/>
              </w:rPr>
            </w:pPr>
            <w:r w:rsidRPr="00FA6864">
              <w:rPr>
                <w:rFonts w:eastAsia="Times New Roman" w:cs="Times New Roman"/>
                <w:b/>
                <w:color w:val="auto"/>
              </w:rPr>
              <w:t>£’000</w:t>
            </w:r>
          </w:p>
        </w:tc>
      </w:tr>
      <w:tr w:rsidR="00204AE1" w:rsidTr="004A0A15">
        <w:tc>
          <w:tcPr>
            <w:tcW w:w="3001" w:type="dxa"/>
          </w:tcPr>
          <w:p w:rsidR="00204AE1" w:rsidRDefault="00204AE1" w:rsidP="00204AE1">
            <w:pPr>
              <w:spacing w:after="0" w:line="240" w:lineRule="auto"/>
              <w:ind w:left="0" w:firstLine="0"/>
              <w:rPr>
                <w:rFonts w:eastAsia="Times New Roman" w:cs="Times New Roman"/>
                <w:color w:val="auto"/>
              </w:rPr>
            </w:pPr>
            <w:r>
              <w:rPr>
                <w:rFonts w:eastAsia="Times New Roman" w:cs="Times New Roman"/>
                <w:color w:val="auto"/>
              </w:rPr>
              <w:t>South Ribble</w:t>
            </w:r>
          </w:p>
        </w:tc>
        <w:tc>
          <w:tcPr>
            <w:tcW w:w="1088" w:type="dxa"/>
            <w:vMerge w:val="restart"/>
            <w:vAlign w:val="center"/>
          </w:tcPr>
          <w:p w:rsidR="00204AE1" w:rsidRDefault="00204AE1" w:rsidP="00204AE1">
            <w:pPr>
              <w:spacing w:after="0" w:line="240" w:lineRule="auto"/>
              <w:ind w:left="0" w:firstLine="0"/>
              <w:jc w:val="center"/>
              <w:rPr>
                <w:rFonts w:eastAsia="Times New Roman" w:cs="Times New Roman"/>
                <w:color w:val="auto"/>
              </w:rPr>
            </w:pPr>
            <w:r>
              <w:rPr>
                <w:rFonts w:eastAsia="Times New Roman" w:cs="Times New Roman"/>
                <w:color w:val="auto"/>
              </w:rPr>
              <w:t>Broadly cost neutral</w:t>
            </w:r>
          </w:p>
        </w:tc>
        <w:tc>
          <w:tcPr>
            <w:tcW w:w="1713" w:type="dxa"/>
          </w:tcPr>
          <w:p w:rsidR="00204AE1" w:rsidRDefault="00204AE1" w:rsidP="00204AE1">
            <w:pPr>
              <w:spacing w:after="0" w:line="240" w:lineRule="auto"/>
              <w:ind w:left="0" w:firstLine="0"/>
              <w:jc w:val="center"/>
              <w:rPr>
                <w:rFonts w:eastAsia="Times New Roman" w:cs="Times New Roman"/>
                <w:color w:val="auto"/>
              </w:rPr>
            </w:pPr>
            <w:r>
              <w:rPr>
                <w:rFonts w:eastAsia="Times New Roman" w:cs="Times New Roman"/>
                <w:color w:val="auto"/>
              </w:rPr>
              <w:t>59</w:t>
            </w:r>
          </w:p>
        </w:tc>
        <w:tc>
          <w:tcPr>
            <w:tcW w:w="1144" w:type="dxa"/>
          </w:tcPr>
          <w:p w:rsidR="00204AE1" w:rsidRDefault="00204AE1" w:rsidP="00204AE1">
            <w:pPr>
              <w:spacing w:after="0" w:line="240" w:lineRule="auto"/>
              <w:ind w:left="0" w:firstLine="0"/>
              <w:jc w:val="center"/>
              <w:rPr>
                <w:rFonts w:eastAsia="Times New Roman" w:cs="Times New Roman"/>
                <w:color w:val="auto"/>
              </w:rPr>
            </w:pPr>
            <w:r>
              <w:rPr>
                <w:rFonts w:eastAsia="Times New Roman" w:cs="Times New Roman"/>
                <w:color w:val="auto"/>
              </w:rPr>
              <w:t>59</w:t>
            </w:r>
          </w:p>
        </w:tc>
        <w:tc>
          <w:tcPr>
            <w:tcW w:w="1134" w:type="dxa"/>
            <w:vMerge w:val="restart"/>
            <w:vAlign w:val="center"/>
          </w:tcPr>
          <w:p w:rsidR="00204AE1" w:rsidRDefault="00204AE1" w:rsidP="00204AE1">
            <w:pPr>
              <w:spacing w:after="0" w:line="240" w:lineRule="auto"/>
              <w:ind w:left="0" w:firstLine="0"/>
              <w:jc w:val="center"/>
              <w:rPr>
                <w:rFonts w:eastAsia="Times New Roman" w:cs="Times New Roman"/>
                <w:color w:val="auto"/>
              </w:rPr>
            </w:pPr>
            <w:r>
              <w:rPr>
                <w:rFonts w:eastAsia="Times New Roman" w:cs="Times New Roman"/>
                <w:color w:val="auto"/>
              </w:rPr>
              <w:t>Broadly cost neutral</w:t>
            </w:r>
          </w:p>
        </w:tc>
      </w:tr>
      <w:tr w:rsidR="00204AE1" w:rsidTr="004A0A15">
        <w:tc>
          <w:tcPr>
            <w:tcW w:w="3001" w:type="dxa"/>
          </w:tcPr>
          <w:p w:rsidR="00204AE1" w:rsidRDefault="00204AE1" w:rsidP="00204AE1">
            <w:pPr>
              <w:spacing w:after="0" w:line="240" w:lineRule="auto"/>
              <w:ind w:left="0" w:firstLine="0"/>
              <w:rPr>
                <w:rFonts w:eastAsia="Times New Roman" w:cs="Times New Roman"/>
                <w:color w:val="auto"/>
              </w:rPr>
            </w:pPr>
            <w:r>
              <w:rPr>
                <w:rFonts w:eastAsia="Times New Roman" w:cs="Times New Roman"/>
                <w:color w:val="auto"/>
              </w:rPr>
              <w:t>Lancashire County Council</w:t>
            </w:r>
          </w:p>
        </w:tc>
        <w:tc>
          <w:tcPr>
            <w:tcW w:w="1088" w:type="dxa"/>
            <w:vMerge/>
          </w:tcPr>
          <w:p w:rsidR="00204AE1" w:rsidRDefault="00204AE1" w:rsidP="00204AE1">
            <w:pPr>
              <w:spacing w:after="0" w:line="240" w:lineRule="auto"/>
              <w:ind w:left="0" w:firstLine="0"/>
              <w:jc w:val="center"/>
              <w:rPr>
                <w:rFonts w:eastAsia="Times New Roman" w:cs="Times New Roman"/>
                <w:color w:val="auto"/>
              </w:rPr>
            </w:pPr>
          </w:p>
        </w:tc>
        <w:tc>
          <w:tcPr>
            <w:tcW w:w="1713" w:type="dxa"/>
          </w:tcPr>
          <w:p w:rsidR="00204AE1" w:rsidRDefault="00204AE1" w:rsidP="00204AE1">
            <w:pPr>
              <w:spacing w:after="0" w:line="240" w:lineRule="auto"/>
              <w:ind w:left="0" w:firstLine="0"/>
              <w:jc w:val="center"/>
              <w:rPr>
                <w:rFonts w:eastAsia="Times New Roman" w:cs="Times New Roman"/>
                <w:color w:val="auto"/>
              </w:rPr>
            </w:pPr>
            <w:r>
              <w:rPr>
                <w:rFonts w:eastAsia="Times New Roman" w:cs="Times New Roman"/>
                <w:color w:val="auto"/>
              </w:rPr>
              <w:t>338</w:t>
            </w:r>
          </w:p>
        </w:tc>
        <w:tc>
          <w:tcPr>
            <w:tcW w:w="1144" w:type="dxa"/>
          </w:tcPr>
          <w:p w:rsidR="00204AE1" w:rsidRDefault="00204AE1" w:rsidP="00204AE1">
            <w:pPr>
              <w:spacing w:after="0" w:line="240" w:lineRule="auto"/>
              <w:ind w:left="0" w:firstLine="0"/>
              <w:jc w:val="center"/>
              <w:rPr>
                <w:rFonts w:eastAsia="Times New Roman" w:cs="Times New Roman"/>
                <w:color w:val="auto"/>
              </w:rPr>
            </w:pPr>
            <w:r>
              <w:rPr>
                <w:rFonts w:eastAsia="Times New Roman" w:cs="Times New Roman"/>
                <w:color w:val="auto"/>
              </w:rPr>
              <w:t>338</w:t>
            </w:r>
          </w:p>
        </w:tc>
        <w:tc>
          <w:tcPr>
            <w:tcW w:w="1134" w:type="dxa"/>
            <w:vMerge/>
          </w:tcPr>
          <w:p w:rsidR="00204AE1" w:rsidRDefault="00204AE1" w:rsidP="00204AE1">
            <w:pPr>
              <w:spacing w:after="0" w:line="240" w:lineRule="auto"/>
              <w:ind w:left="0" w:firstLine="0"/>
              <w:jc w:val="center"/>
              <w:rPr>
                <w:rFonts w:eastAsia="Times New Roman" w:cs="Times New Roman"/>
                <w:color w:val="auto"/>
              </w:rPr>
            </w:pPr>
          </w:p>
        </w:tc>
      </w:tr>
      <w:tr w:rsidR="00204AE1" w:rsidTr="004A0A15">
        <w:tc>
          <w:tcPr>
            <w:tcW w:w="3001" w:type="dxa"/>
          </w:tcPr>
          <w:p w:rsidR="00204AE1" w:rsidRDefault="00204AE1" w:rsidP="00204AE1">
            <w:pPr>
              <w:spacing w:after="0" w:line="240" w:lineRule="auto"/>
              <w:ind w:left="0" w:firstLine="0"/>
              <w:rPr>
                <w:rFonts w:eastAsia="Times New Roman" w:cs="Times New Roman"/>
                <w:color w:val="auto"/>
              </w:rPr>
            </w:pPr>
            <w:r>
              <w:rPr>
                <w:rFonts w:eastAsia="Times New Roman" w:cs="Times New Roman"/>
                <w:color w:val="auto"/>
              </w:rPr>
              <w:t>Police and Crime Commissioner</w:t>
            </w:r>
          </w:p>
        </w:tc>
        <w:tc>
          <w:tcPr>
            <w:tcW w:w="1088" w:type="dxa"/>
            <w:vMerge/>
          </w:tcPr>
          <w:p w:rsidR="00204AE1" w:rsidRDefault="00204AE1" w:rsidP="00204AE1">
            <w:pPr>
              <w:spacing w:after="0" w:line="240" w:lineRule="auto"/>
              <w:ind w:left="0" w:firstLine="0"/>
              <w:jc w:val="center"/>
              <w:rPr>
                <w:rFonts w:eastAsia="Times New Roman" w:cs="Times New Roman"/>
                <w:color w:val="auto"/>
              </w:rPr>
            </w:pPr>
          </w:p>
        </w:tc>
        <w:tc>
          <w:tcPr>
            <w:tcW w:w="1713" w:type="dxa"/>
          </w:tcPr>
          <w:p w:rsidR="00204AE1" w:rsidRDefault="00204AE1" w:rsidP="00204AE1">
            <w:pPr>
              <w:spacing w:after="0" w:line="240" w:lineRule="auto"/>
              <w:ind w:left="0" w:firstLine="0"/>
              <w:jc w:val="center"/>
              <w:rPr>
                <w:rFonts w:eastAsia="Times New Roman" w:cs="Times New Roman"/>
                <w:color w:val="auto"/>
              </w:rPr>
            </w:pPr>
            <w:r>
              <w:rPr>
                <w:rFonts w:eastAsia="Times New Roman" w:cs="Times New Roman"/>
                <w:color w:val="auto"/>
              </w:rPr>
              <w:t>46</w:t>
            </w:r>
          </w:p>
        </w:tc>
        <w:tc>
          <w:tcPr>
            <w:tcW w:w="1144" w:type="dxa"/>
          </w:tcPr>
          <w:p w:rsidR="00204AE1" w:rsidRDefault="00204AE1" w:rsidP="00204AE1">
            <w:pPr>
              <w:spacing w:after="0" w:line="240" w:lineRule="auto"/>
              <w:ind w:left="0" w:firstLine="0"/>
              <w:jc w:val="center"/>
              <w:rPr>
                <w:rFonts w:eastAsia="Times New Roman" w:cs="Times New Roman"/>
                <w:color w:val="auto"/>
              </w:rPr>
            </w:pPr>
            <w:r>
              <w:rPr>
                <w:rFonts w:eastAsia="Times New Roman" w:cs="Times New Roman"/>
                <w:color w:val="auto"/>
              </w:rPr>
              <w:t>46</w:t>
            </w:r>
          </w:p>
        </w:tc>
        <w:tc>
          <w:tcPr>
            <w:tcW w:w="1134" w:type="dxa"/>
            <w:vMerge/>
          </w:tcPr>
          <w:p w:rsidR="00204AE1" w:rsidRDefault="00204AE1" w:rsidP="00204AE1">
            <w:pPr>
              <w:spacing w:after="0" w:line="240" w:lineRule="auto"/>
              <w:ind w:left="0" w:firstLine="0"/>
              <w:jc w:val="center"/>
              <w:rPr>
                <w:rFonts w:eastAsia="Times New Roman" w:cs="Times New Roman"/>
                <w:color w:val="auto"/>
              </w:rPr>
            </w:pPr>
          </w:p>
        </w:tc>
      </w:tr>
      <w:tr w:rsidR="00204AE1" w:rsidTr="004A0A15">
        <w:tc>
          <w:tcPr>
            <w:tcW w:w="3001" w:type="dxa"/>
          </w:tcPr>
          <w:p w:rsidR="00204AE1" w:rsidRDefault="00204AE1" w:rsidP="00204AE1">
            <w:pPr>
              <w:spacing w:after="0" w:line="240" w:lineRule="auto"/>
              <w:ind w:left="0" w:firstLine="0"/>
              <w:rPr>
                <w:rFonts w:eastAsia="Times New Roman" w:cs="Times New Roman"/>
                <w:color w:val="auto"/>
              </w:rPr>
            </w:pPr>
            <w:r>
              <w:rPr>
                <w:rFonts w:eastAsia="Times New Roman" w:cs="Times New Roman"/>
                <w:color w:val="auto"/>
              </w:rPr>
              <w:t>Combined Fire and Rescue Authority</w:t>
            </w:r>
          </w:p>
        </w:tc>
        <w:tc>
          <w:tcPr>
            <w:tcW w:w="1088" w:type="dxa"/>
            <w:vMerge/>
          </w:tcPr>
          <w:p w:rsidR="00204AE1" w:rsidRDefault="00204AE1" w:rsidP="00204AE1">
            <w:pPr>
              <w:spacing w:after="0" w:line="240" w:lineRule="auto"/>
              <w:ind w:left="0" w:firstLine="0"/>
              <w:jc w:val="center"/>
              <w:rPr>
                <w:rFonts w:eastAsia="Times New Roman" w:cs="Times New Roman"/>
                <w:color w:val="auto"/>
              </w:rPr>
            </w:pPr>
          </w:p>
        </w:tc>
        <w:tc>
          <w:tcPr>
            <w:tcW w:w="1713" w:type="dxa"/>
          </w:tcPr>
          <w:p w:rsidR="00204AE1" w:rsidRDefault="00204AE1" w:rsidP="00204AE1">
            <w:pPr>
              <w:spacing w:after="0" w:line="240" w:lineRule="auto"/>
              <w:ind w:left="0" w:firstLine="0"/>
              <w:jc w:val="center"/>
              <w:rPr>
                <w:rFonts w:eastAsia="Times New Roman" w:cs="Times New Roman"/>
                <w:color w:val="auto"/>
              </w:rPr>
            </w:pPr>
            <w:r>
              <w:rPr>
                <w:rFonts w:eastAsia="Times New Roman" w:cs="Times New Roman"/>
                <w:color w:val="auto"/>
              </w:rPr>
              <w:t>17</w:t>
            </w:r>
          </w:p>
        </w:tc>
        <w:tc>
          <w:tcPr>
            <w:tcW w:w="1144" w:type="dxa"/>
          </w:tcPr>
          <w:p w:rsidR="00204AE1" w:rsidRDefault="00204AE1" w:rsidP="00204AE1">
            <w:pPr>
              <w:spacing w:after="0" w:line="240" w:lineRule="auto"/>
              <w:ind w:left="0" w:firstLine="0"/>
              <w:jc w:val="center"/>
              <w:rPr>
                <w:rFonts w:eastAsia="Times New Roman" w:cs="Times New Roman"/>
                <w:color w:val="auto"/>
              </w:rPr>
            </w:pPr>
            <w:r>
              <w:rPr>
                <w:rFonts w:eastAsia="Times New Roman" w:cs="Times New Roman"/>
                <w:color w:val="auto"/>
              </w:rPr>
              <w:t>17</w:t>
            </w:r>
          </w:p>
        </w:tc>
        <w:tc>
          <w:tcPr>
            <w:tcW w:w="1134" w:type="dxa"/>
            <w:vMerge/>
          </w:tcPr>
          <w:p w:rsidR="00204AE1" w:rsidRDefault="00204AE1" w:rsidP="00204AE1">
            <w:pPr>
              <w:spacing w:after="0" w:line="240" w:lineRule="auto"/>
              <w:ind w:left="0" w:firstLine="0"/>
              <w:jc w:val="center"/>
              <w:rPr>
                <w:rFonts w:eastAsia="Times New Roman" w:cs="Times New Roman"/>
                <w:color w:val="auto"/>
              </w:rPr>
            </w:pPr>
          </w:p>
        </w:tc>
      </w:tr>
      <w:tr w:rsidR="00204AE1" w:rsidRPr="00E43C7C" w:rsidTr="004A0A15">
        <w:tc>
          <w:tcPr>
            <w:tcW w:w="3001" w:type="dxa"/>
          </w:tcPr>
          <w:p w:rsidR="00204AE1" w:rsidRPr="00E43C7C" w:rsidRDefault="00204AE1" w:rsidP="00204AE1">
            <w:pPr>
              <w:spacing w:after="0" w:line="240" w:lineRule="auto"/>
              <w:ind w:left="0" w:firstLine="0"/>
              <w:rPr>
                <w:rFonts w:eastAsia="Times New Roman" w:cs="Times New Roman"/>
                <w:b/>
                <w:color w:val="auto"/>
              </w:rPr>
            </w:pPr>
            <w:r>
              <w:rPr>
                <w:rFonts w:eastAsia="Times New Roman" w:cs="Times New Roman"/>
                <w:b/>
                <w:color w:val="auto"/>
              </w:rPr>
              <w:t>Indicative Cost / (Saving)</w:t>
            </w:r>
          </w:p>
        </w:tc>
        <w:tc>
          <w:tcPr>
            <w:tcW w:w="1088" w:type="dxa"/>
            <w:vMerge/>
          </w:tcPr>
          <w:p w:rsidR="00204AE1" w:rsidRPr="00E43C7C" w:rsidRDefault="00204AE1" w:rsidP="00204AE1">
            <w:pPr>
              <w:spacing w:after="0" w:line="240" w:lineRule="auto"/>
              <w:ind w:left="0" w:firstLine="0"/>
              <w:jc w:val="center"/>
              <w:rPr>
                <w:rFonts w:eastAsia="Times New Roman" w:cs="Times New Roman"/>
                <w:b/>
                <w:color w:val="auto"/>
              </w:rPr>
            </w:pPr>
          </w:p>
        </w:tc>
        <w:tc>
          <w:tcPr>
            <w:tcW w:w="1713" w:type="dxa"/>
          </w:tcPr>
          <w:p w:rsidR="00204AE1" w:rsidRPr="00E43C7C" w:rsidRDefault="00204AE1" w:rsidP="00204AE1">
            <w:pPr>
              <w:spacing w:after="0" w:line="240" w:lineRule="auto"/>
              <w:ind w:left="0" w:firstLine="0"/>
              <w:jc w:val="center"/>
              <w:rPr>
                <w:rFonts w:eastAsia="Times New Roman" w:cs="Times New Roman"/>
                <w:b/>
                <w:color w:val="auto"/>
              </w:rPr>
            </w:pPr>
            <w:r>
              <w:rPr>
                <w:rFonts w:eastAsia="Times New Roman" w:cs="Times New Roman"/>
                <w:b/>
                <w:color w:val="auto"/>
              </w:rPr>
              <w:t>460</w:t>
            </w:r>
          </w:p>
        </w:tc>
        <w:tc>
          <w:tcPr>
            <w:tcW w:w="1144" w:type="dxa"/>
          </w:tcPr>
          <w:p w:rsidR="00204AE1" w:rsidRPr="00E43C7C" w:rsidRDefault="00204AE1" w:rsidP="00204AE1">
            <w:pPr>
              <w:spacing w:after="0" w:line="240" w:lineRule="auto"/>
              <w:ind w:left="0" w:firstLine="0"/>
              <w:jc w:val="center"/>
              <w:rPr>
                <w:rFonts w:eastAsia="Times New Roman" w:cs="Times New Roman"/>
                <w:b/>
                <w:color w:val="auto"/>
              </w:rPr>
            </w:pPr>
            <w:r>
              <w:rPr>
                <w:rFonts w:eastAsia="Times New Roman" w:cs="Times New Roman"/>
                <w:b/>
                <w:color w:val="auto"/>
              </w:rPr>
              <w:t>460</w:t>
            </w:r>
          </w:p>
        </w:tc>
        <w:tc>
          <w:tcPr>
            <w:tcW w:w="1134" w:type="dxa"/>
            <w:vMerge/>
          </w:tcPr>
          <w:p w:rsidR="00204AE1" w:rsidRPr="00E43C7C" w:rsidRDefault="00204AE1" w:rsidP="00204AE1">
            <w:pPr>
              <w:spacing w:after="0" w:line="240" w:lineRule="auto"/>
              <w:ind w:left="0" w:firstLine="0"/>
              <w:jc w:val="center"/>
              <w:rPr>
                <w:rFonts w:eastAsia="Times New Roman" w:cs="Times New Roman"/>
                <w:b/>
                <w:color w:val="auto"/>
              </w:rPr>
            </w:pPr>
          </w:p>
        </w:tc>
      </w:tr>
    </w:tbl>
    <w:p w:rsidR="004A0A15" w:rsidRDefault="004A0A15" w:rsidP="002A5CD9">
      <w:pPr>
        <w:spacing w:after="0" w:line="240" w:lineRule="auto"/>
        <w:ind w:left="567" w:firstLine="0"/>
        <w:rPr>
          <w:color w:val="auto"/>
        </w:rPr>
      </w:pPr>
    </w:p>
    <w:p w:rsidR="00203939" w:rsidRPr="0021423D" w:rsidRDefault="00203939" w:rsidP="002A5CD9">
      <w:pPr>
        <w:spacing w:after="0" w:line="240" w:lineRule="auto"/>
        <w:ind w:left="567" w:firstLine="0"/>
        <w:rPr>
          <w:rFonts w:eastAsia="Times New Roman" w:cs="Times New Roman"/>
          <w:color w:val="auto"/>
          <w:szCs w:val="20"/>
        </w:rPr>
      </w:pPr>
    </w:p>
    <w:p w:rsidR="004E3EB6" w:rsidRPr="004E3EB6" w:rsidRDefault="00E66F74" w:rsidP="008E27E8">
      <w:pPr>
        <w:spacing w:after="0" w:line="240" w:lineRule="auto"/>
        <w:ind w:left="567" w:hanging="567"/>
        <w:rPr>
          <w:rFonts w:eastAsia="Times New Roman"/>
          <w:color w:val="auto"/>
        </w:rPr>
      </w:pPr>
      <w:r>
        <w:rPr>
          <w:rFonts w:eastAsia="Times New Roman"/>
          <w:color w:val="auto"/>
        </w:rPr>
        <w:t>8</w:t>
      </w:r>
      <w:r w:rsidR="004E3EB6" w:rsidRPr="004E3EB6">
        <w:rPr>
          <w:rFonts w:eastAsia="Times New Roman"/>
          <w:color w:val="auto"/>
        </w:rPr>
        <w:t>.</w:t>
      </w:r>
      <w:r w:rsidR="00CF5F50">
        <w:rPr>
          <w:rFonts w:eastAsia="Times New Roman"/>
          <w:color w:val="auto"/>
        </w:rPr>
        <w:t>3</w:t>
      </w:r>
      <w:r w:rsidR="004E3EB6" w:rsidRPr="004E3EB6">
        <w:rPr>
          <w:rFonts w:eastAsia="Times New Roman"/>
          <w:color w:val="auto"/>
        </w:rPr>
        <w:t xml:space="preserve"> </w:t>
      </w:r>
      <w:r w:rsidR="004E3EB6" w:rsidRPr="004E3EB6">
        <w:rPr>
          <w:rFonts w:eastAsia="Times New Roman"/>
          <w:color w:val="auto"/>
        </w:rPr>
        <w:tab/>
        <w:t xml:space="preserve">Indicative costs for the </w:t>
      </w:r>
      <w:r w:rsidR="00B9190E">
        <w:rPr>
          <w:rFonts w:eastAsia="Times New Roman"/>
          <w:color w:val="auto"/>
        </w:rPr>
        <w:t xml:space="preserve">necessary </w:t>
      </w:r>
      <w:r w:rsidR="004E3EB6" w:rsidRPr="004E3EB6">
        <w:rPr>
          <w:rFonts w:eastAsia="Times New Roman"/>
          <w:color w:val="auto"/>
        </w:rPr>
        <w:t xml:space="preserve">software </w:t>
      </w:r>
      <w:r w:rsidR="00B9190E">
        <w:rPr>
          <w:rFonts w:eastAsia="Times New Roman"/>
          <w:color w:val="auto"/>
        </w:rPr>
        <w:t xml:space="preserve">for a Banded Scheme </w:t>
      </w:r>
      <w:r w:rsidR="004E3EB6" w:rsidRPr="004E3EB6">
        <w:rPr>
          <w:rFonts w:eastAsia="Times New Roman"/>
          <w:color w:val="auto"/>
        </w:rPr>
        <w:t xml:space="preserve">are a charge of </w:t>
      </w:r>
      <w:r w:rsidR="00B9190E">
        <w:rPr>
          <w:rFonts w:eastAsia="Times New Roman"/>
          <w:color w:val="auto"/>
        </w:rPr>
        <w:t xml:space="preserve">approx. </w:t>
      </w:r>
      <w:r w:rsidR="004E3EB6" w:rsidRPr="004E3EB6">
        <w:rPr>
          <w:rFonts w:eastAsia="Times New Roman"/>
          <w:color w:val="auto"/>
        </w:rPr>
        <w:t>£28,250 for the licence, £2,600 consultancy and an annual maintenance charge of £5,250. DWP provided funding in 2018/19 to support Universal Credit implementation in the sum of £39,304 which would assist with the cost of any required software. Further funding moving forwards is unknown at this stage.</w:t>
      </w:r>
    </w:p>
    <w:p w:rsidR="004E3EB6" w:rsidRPr="004E3EB6" w:rsidRDefault="004E3EB6" w:rsidP="004E3EB6">
      <w:pPr>
        <w:spacing w:after="0" w:line="240" w:lineRule="auto"/>
        <w:ind w:left="567" w:hanging="567"/>
        <w:rPr>
          <w:rFonts w:eastAsia="Times New Roman"/>
          <w:color w:val="auto"/>
        </w:rPr>
      </w:pPr>
    </w:p>
    <w:p w:rsidR="004E3EB6" w:rsidRPr="00134039" w:rsidRDefault="008B1E25" w:rsidP="002D0E8A">
      <w:pPr>
        <w:spacing w:after="0" w:line="240" w:lineRule="auto"/>
        <w:ind w:left="567" w:right="238" w:hanging="567"/>
        <w:rPr>
          <w:rFonts w:eastAsia="Times New Roman"/>
          <w:b/>
          <w:caps/>
          <w:color w:val="auto"/>
        </w:rPr>
      </w:pPr>
      <w:r>
        <w:rPr>
          <w:rFonts w:eastAsia="Times New Roman"/>
          <w:color w:val="auto"/>
        </w:rPr>
        <w:t xml:space="preserve"> </w:t>
      </w:r>
      <w:r w:rsidR="00CC0A50">
        <w:rPr>
          <w:rFonts w:eastAsia="Times New Roman"/>
          <w:b/>
          <w:caps/>
          <w:color w:val="auto"/>
        </w:rPr>
        <w:t>9</w:t>
      </w:r>
      <w:r w:rsidR="009C142B" w:rsidRPr="00134039">
        <w:rPr>
          <w:rFonts w:eastAsia="Times New Roman"/>
          <w:b/>
          <w:caps/>
          <w:color w:val="auto"/>
        </w:rPr>
        <w:t xml:space="preserve">. </w:t>
      </w:r>
      <w:r w:rsidR="002D0E8A">
        <w:rPr>
          <w:rFonts w:eastAsia="Times New Roman"/>
          <w:b/>
          <w:caps/>
          <w:color w:val="auto"/>
        </w:rPr>
        <w:tab/>
      </w:r>
      <w:r w:rsidR="004E3EB6" w:rsidRPr="00134039">
        <w:rPr>
          <w:rFonts w:eastAsia="Times New Roman"/>
          <w:b/>
          <w:caps/>
          <w:color w:val="auto"/>
        </w:rPr>
        <w:t xml:space="preserve">LEGAL IMPLICATIONS </w:t>
      </w:r>
    </w:p>
    <w:p w:rsidR="004E3EB6" w:rsidRPr="004E3EB6" w:rsidRDefault="004E3EB6" w:rsidP="004E3EB6">
      <w:pPr>
        <w:spacing w:after="0" w:line="240" w:lineRule="auto"/>
        <w:ind w:left="0" w:firstLine="0"/>
        <w:rPr>
          <w:rFonts w:eastAsia="Times New Roman"/>
          <w:b/>
          <w:caps/>
          <w:color w:val="FF0000"/>
        </w:rPr>
      </w:pPr>
    </w:p>
    <w:p w:rsidR="00D52C5A" w:rsidRDefault="00CC0A50" w:rsidP="00CD628E">
      <w:pPr>
        <w:autoSpaceDE w:val="0"/>
        <w:autoSpaceDN w:val="0"/>
        <w:adjustRightInd w:val="0"/>
        <w:spacing w:after="0" w:line="240" w:lineRule="auto"/>
        <w:ind w:left="567" w:hanging="567"/>
        <w:jc w:val="both"/>
        <w:rPr>
          <w:rFonts w:ascii="ArialMT" w:eastAsiaTheme="minorEastAsia" w:hAnsi="ArialMT" w:cs="ArialMT"/>
          <w:color w:val="auto"/>
        </w:rPr>
      </w:pPr>
      <w:r>
        <w:rPr>
          <w:rFonts w:ascii="ArialMT" w:eastAsiaTheme="minorEastAsia" w:hAnsi="ArialMT" w:cs="ArialMT"/>
          <w:color w:val="auto"/>
        </w:rPr>
        <w:t>9</w:t>
      </w:r>
      <w:r w:rsidR="00CD628E">
        <w:rPr>
          <w:rFonts w:ascii="ArialMT" w:eastAsiaTheme="minorEastAsia" w:hAnsi="ArialMT" w:cs="ArialMT"/>
          <w:color w:val="auto"/>
        </w:rPr>
        <w:t xml:space="preserve">.1 </w:t>
      </w:r>
      <w:r w:rsidR="00E82A4F">
        <w:rPr>
          <w:rFonts w:ascii="ArialMT" w:eastAsiaTheme="minorEastAsia" w:hAnsi="ArialMT" w:cs="ArialMT"/>
          <w:color w:val="auto"/>
        </w:rPr>
        <w:tab/>
      </w:r>
      <w:r w:rsidR="00D52C5A">
        <w:rPr>
          <w:rFonts w:ascii="ArialMT" w:eastAsiaTheme="minorEastAsia" w:hAnsi="ArialMT" w:cs="ArialMT"/>
          <w:color w:val="auto"/>
        </w:rPr>
        <w:t>The Council is under a legal duty by virtue of Schedule 1A to the Local Government Finance Act</w:t>
      </w:r>
    </w:p>
    <w:p w:rsidR="00D52C5A" w:rsidRPr="00CF4CD8" w:rsidRDefault="00D52C5A" w:rsidP="00E82A4F">
      <w:pPr>
        <w:autoSpaceDE w:val="0"/>
        <w:autoSpaceDN w:val="0"/>
        <w:adjustRightInd w:val="0"/>
        <w:spacing w:after="0" w:line="240" w:lineRule="auto"/>
        <w:ind w:left="567" w:firstLine="0"/>
        <w:jc w:val="both"/>
        <w:rPr>
          <w:rFonts w:ascii="ArialMT" w:eastAsiaTheme="minorHAnsi" w:hAnsi="ArialMT" w:cs="ArialMT"/>
          <w:color w:val="auto"/>
          <w:lang w:eastAsia="en-US"/>
        </w:rPr>
      </w:pPr>
      <w:r>
        <w:rPr>
          <w:rFonts w:ascii="ArialMT" w:eastAsiaTheme="minorEastAsia" w:hAnsi="ArialMT" w:cs="ArialMT"/>
          <w:color w:val="auto"/>
        </w:rPr>
        <w:t>1992 to consider each year whether to revise its council tax reduction scheme or to replace it with</w:t>
      </w:r>
      <w:r w:rsidR="00CD628E">
        <w:rPr>
          <w:rFonts w:ascii="ArialMT" w:eastAsiaTheme="minorEastAsia" w:hAnsi="ArialMT" w:cs="ArialMT"/>
          <w:color w:val="auto"/>
        </w:rPr>
        <w:t xml:space="preserve"> </w:t>
      </w:r>
      <w:r>
        <w:rPr>
          <w:rFonts w:ascii="ArialMT" w:eastAsiaTheme="minorEastAsia" w:hAnsi="ArialMT" w:cs="ArialMT"/>
          <w:color w:val="auto"/>
        </w:rPr>
        <w:t>another scheme. Schedule 1A also provides that any revision to the scheme, or any replacement</w:t>
      </w:r>
      <w:r w:rsidR="00E82A4F">
        <w:rPr>
          <w:rFonts w:ascii="ArialMT" w:eastAsiaTheme="minorEastAsia" w:hAnsi="ArialMT" w:cs="ArialMT"/>
          <w:color w:val="auto"/>
        </w:rPr>
        <w:t xml:space="preserve"> </w:t>
      </w:r>
      <w:r>
        <w:rPr>
          <w:rFonts w:ascii="ArialMT" w:eastAsiaTheme="minorEastAsia" w:hAnsi="ArialMT" w:cs="ArialMT"/>
          <w:color w:val="auto"/>
        </w:rPr>
        <w:t>scheme must be made no later than 11 March in the financial year preceding that for which the</w:t>
      </w:r>
      <w:r w:rsidR="00CD628E">
        <w:rPr>
          <w:rFonts w:ascii="ArialMT" w:eastAsiaTheme="minorEastAsia" w:hAnsi="ArialMT" w:cs="ArialMT"/>
          <w:color w:val="auto"/>
        </w:rPr>
        <w:t xml:space="preserve"> </w:t>
      </w:r>
      <w:r>
        <w:rPr>
          <w:rFonts w:ascii="ArialMT" w:eastAsiaTheme="minorEastAsia" w:hAnsi="ArialMT" w:cs="ArialMT"/>
          <w:color w:val="auto"/>
        </w:rPr>
        <w:t>revision or replacement scheme is to have effect. The Council has a</w:t>
      </w:r>
      <w:r w:rsidR="00776A21">
        <w:rPr>
          <w:rFonts w:ascii="ArialMT" w:eastAsiaTheme="minorEastAsia" w:hAnsi="ArialMT" w:cs="ArialMT"/>
          <w:color w:val="auto"/>
        </w:rPr>
        <w:t xml:space="preserve"> legal duty to review its CT</w:t>
      </w:r>
      <w:r>
        <w:rPr>
          <w:rFonts w:ascii="ArialMT" w:eastAsiaTheme="minorEastAsia" w:hAnsi="ArialMT" w:cs="ArialMT"/>
          <w:color w:val="auto"/>
        </w:rPr>
        <w:t>S</w:t>
      </w:r>
      <w:r w:rsidR="00E82A4F">
        <w:rPr>
          <w:rFonts w:ascii="ArialMT" w:eastAsiaTheme="minorEastAsia" w:hAnsi="ArialMT" w:cs="ArialMT"/>
          <w:color w:val="auto"/>
        </w:rPr>
        <w:t xml:space="preserve"> </w:t>
      </w:r>
      <w:r>
        <w:rPr>
          <w:rFonts w:ascii="ArialMT" w:eastAsiaTheme="minorEastAsia" w:hAnsi="ArialMT" w:cs="ArialMT"/>
          <w:color w:val="auto"/>
        </w:rPr>
        <w:t>every year and to consult on any proposed changes.</w:t>
      </w:r>
      <w:r w:rsidR="00CD628E">
        <w:rPr>
          <w:rFonts w:ascii="ArialMT" w:eastAsiaTheme="minorEastAsia" w:hAnsi="ArialMT" w:cs="ArialMT"/>
          <w:color w:val="auto"/>
        </w:rPr>
        <w:t xml:space="preserve"> </w:t>
      </w:r>
      <w:r w:rsidR="00B9190E">
        <w:rPr>
          <w:rFonts w:ascii="ArialMT" w:eastAsiaTheme="minorEastAsia" w:hAnsi="ArialMT" w:cs="ArialMT"/>
          <w:color w:val="auto"/>
        </w:rPr>
        <w:t xml:space="preserve">If members wish to adopt a </w:t>
      </w:r>
      <w:r>
        <w:rPr>
          <w:rFonts w:ascii="ArialMT" w:eastAsiaTheme="minorEastAsia" w:hAnsi="ArialMT" w:cs="ArialMT"/>
          <w:color w:val="auto"/>
        </w:rPr>
        <w:t>revised or replacement scheme for 2020/21, then, as se</w:t>
      </w:r>
      <w:r w:rsidR="00776A21">
        <w:rPr>
          <w:rFonts w:ascii="ArialMT" w:eastAsiaTheme="minorEastAsia" w:hAnsi="ArialMT" w:cs="ArialMT"/>
          <w:color w:val="auto"/>
        </w:rPr>
        <w:t>t out in this report, government guidance provides for a</w:t>
      </w:r>
      <w:r>
        <w:rPr>
          <w:rFonts w:ascii="ArialMT" w:eastAsiaTheme="minorEastAsia" w:hAnsi="ArialMT" w:cs="ArialMT"/>
          <w:color w:val="auto"/>
        </w:rPr>
        <w:t xml:space="preserve"> consultation period of 12 weeks to allow for all those affected </w:t>
      </w:r>
      <w:r w:rsidR="00FC6967">
        <w:rPr>
          <w:rFonts w:ascii="ArialMT" w:eastAsiaTheme="minorEastAsia" w:hAnsi="ArialMT" w:cs="ArialMT"/>
          <w:color w:val="auto"/>
        </w:rPr>
        <w:t xml:space="preserve">with </w:t>
      </w:r>
      <w:r>
        <w:rPr>
          <w:rFonts w:ascii="ArialMT" w:eastAsiaTheme="minorEastAsia" w:hAnsi="ArialMT" w:cs="ArialMT"/>
          <w:color w:val="auto"/>
        </w:rPr>
        <w:t>an opportunity</w:t>
      </w:r>
      <w:r w:rsidR="006E11A0">
        <w:rPr>
          <w:rFonts w:ascii="ArialMT" w:eastAsiaTheme="minorEastAsia" w:hAnsi="ArialMT" w:cs="ArialMT"/>
          <w:color w:val="auto"/>
        </w:rPr>
        <w:t xml:space="preserve"> </w:t>
      </w:r>
      <w:r>
        <w:rPr>
          <w:rFonts w:ascii="ArialMT" w:eastAsiaTheme="minorEastAsia" w:hAnsi="ArialMT" w:cs="ArialMT"/>
          <w:color w:val="auto"/>
        </w:rPr>
        <w:t xml:space="preserve">to comment. </w:t>
      </w:r>
      <w:r w:rsidRPr="00CF4CD8">
        <w:rPr>
          <w:rFonts w:ascii="ArialMT" w:eastAsiaTheme="minorHAnsi" w:hAnsi="ArialMT" w:cs="ArialMT"/>
          <w:color w:val="auto"/>
          <w:lang w:eastAsia="en-US"/>
        </w:rPr>
        <w:t>If changes are made</w:t>
      </w:r>
      <w:r>
        <w:rPr>
          <w:rFonts w:ascii="ArialMT" w:eastAsiaTheme="minorHAnsi" w:hAnsi="ArialMT" w:cs="ArialMT"/>
          <w:color w:val="auto"/>
          <w:lang w:eastAsia="en-US"/>
        </w:rPr>
        <w:t xml:space="preserve"> </w:t>
      </w:r>
      <w:r w:rsidR="006E11A0">
        <w:rPr>
          <w:rFonts w:ascii="ArialMT" w:eastAsiaTheme="minorHAnsi" w:hAnsi="ArialMT" w:cs="ArialMT"/>
          <w:color w:val="auto"/>
          <w:lang w:eastAsia="en-US"/>
        </w:rPr>
        <w:t xml:space="preserve">without the </w:t>
      </w:r>
      <w:r w:rsidRPr="00CF4CD8">
        <w:rPr>
          <w:rFonts w:ascii="ArialMT" w:eastAsiaTheme="minorHAnsi" w:hAnsi="ArialMT" w:cs="ArialMT"/>
          <w:color w:val="auto"/>
          <w:lang w:eastAsia="en-US"/>
        </w:rPr>
        <w:t>process being followed, there is a risk of the</w:t>
      </w:r>
      <w:r w:rsidR="00CD628E">
        <w:rPr>
          <w:rFonts w:ascii="ArialMT" w:eastAsiaTheme="minorHAnsi" w:hAnsi="ArialMT" w:cs="ArialMT"/>
          <w:color w:val="auto"/>
          <w:lang w:eastAsia="en-US"/>
        </w:rPr>
        <w:t xml:space="preserve"> </w:t>
      </w:r>
      <w:r w:rsidRPr="00CF4CD8">
        <w:rPr>
          <w:rFonts w:ascii="ArialMT" w:eastAsiaTheme="minorHAnsi" w:hAnsi="ArialMT" w:cs="ArialMT"/>
          <w:color w:val="auto"/>
          <w:lang w:eastAsia="en-US"/>
        </w:rPr>
        <w:t>scheme being challenged by Judicial Review.</w:t>
      </w:r>
      <w:r w:rsidR="00776A21">
        <w:rPr>
          <w:rFonts w:ascii="ArialMT" w:eastAsiaTheme="minorHAnsi" w:hAnsi="ArialMT" w:cs="ArialMT"/>
          <w:color w:val="auto"/>
          <w:lang w:eastAsia="en-US"/>
        </w:rPr>
        <w:t xml:space="preserve"> </w:t>
      </w:r>
    </w:p>
    <w:p w:rsidR="008E27E8" w:rsidRDefault="008E27E8" w:rsidP="006B593F">
      <w:pPr>
        <w:spacing w:after="0" w:line="240" w:lineRule="auto"/>
        <w:ind w:left="0" w:firstLine="0"/>
        <w:rPr>
          <w:rFonts w:eastAsia="Times New Roman"/>
          <w:b/>
          <w:caps/>
          <w:color w:val="auto"/>
        </w:rPr>
      </w:pPr>
    </w:p>
    <w:p w:rsidR="004E3EB6" w:rsidRPr="004E3EB6" w:rsidRDefault="009C142B" w:rsidP="002D0E8A">
      <w:pPr>
        <w:spacing w:after="0" w:line="240" w:lineRule="auto"/>
        <w:ind w:left="567" w:hanging="567"/>
        <w:rPr>
          <w:rFonts w:eastAsia="Times New Roman"/>
          <w:b/>
          <w:caps/>
          <w:color w:val="auto"/>
        </w:rPr>
      </w:pPr>
      <w:r>
        <w:rPr>
          <w:rFonts w:eastAsia="Times New Roman"/>
          <w:b/>
          <w:caps/>
          <w:color w:val="auto"/>
        </w:rPr>
        <w:t>1</w:t>
      </w:r>
      <w:r w:rsidR="00CC0A50">
        <w:rPr>
          <w:rFonts w:eastAsia="Times New Roman"/>
          <w:b/>
          <w:caps/>
          <w:color w:val="auto"/>
        </w:rPr>
        <w:t>0</w:t>
      </w:r>
      <w:r>
        <w:rPr>
          <w:rFonts w:eastAsia="Times New Roman"/>
          <w:b/>
          <w:caps/>
          <w:color w:val="auto"/>
        </w:rPr>
        <w:t xml:space="preserve">. </w:t>
      </w:r>
      <w:r w:rsidR="002D0E8A">
        <w:rPr>
          <w:rFonts w:eastAsia="Times New Roman"/>
          <w:b/>
          <w:caps/>
          <w:color w:val="auto"/>
        </w:rPr>
        <w:tab/>
      </w:r>
      <w:r w:rsidR="004E3EB6" w:rsidRPr="004E3EB6">
        <w:rPr>
          <w:rFonts w:eastAsia="Times New Roman"/>
          <w:b/>
          <w:caps/>
          <w:color w:val="auto"/>
        </w:rPr>
        <w:t>Human Resources and Organisational Development implications</w:t>
      </w:r>
    </w:p>
    <w:p w:rsidR="004E3EB6" w:rsidRPr="004E3EB6" w:rsidRDefault="004E3EB6" w:rsidP="004E3EB6">
      <w:pPr>
        <w:spacing w:after="0" w:line="240" w:lineRule="auto"/>
        <w:ind w:left="567" w:firstLine="0"/>
        <w:rPr>
          <w:rFonts w:eastAsia="Times New Roman"/>
          <w:b/>
          <w:caps/>
          <w:color w:val="auto"/>
        </w:rPr>
      </w:pPr>
    </w:p>
    <w:p w:rsidR="004E3EB6" w:rsidRPr="004E3EB6" w:rsidRDefault="00134039" w:rsidP="008E27E8">
      <w:pPr>
        <w:spacing w:after="0" w:line="240" w:lineRule="auto"/>
        <w:ind w:left="567" w:hanging="567"/>
        <w:rPr>
          <w:rFonts w:eastAsia="Times New Roman"/>
          <w:b/>
          <w:caps/>
          <w:color w:val="auto"/>
        </w:rPr>
      </w:pPr>
      <w:r>
        <w:rPr>
          <w:rFonts w:eastAsia="Times New Roman"/>
          <w:color w:val="auto"/>
        </w:rPr>
        <w:t>1</w:t>
      </w:r>
      <w:r w:rsidR="00CC0A50">
        <w:rPr>
          <w:rFonts w:eastAsia="Times New Roman"/>
          <w:color w:val="auto"/>
        </w:rPr>
        <w:t>0</w:t>
      </w:r>
      <w:r>
        <w:rPr>
          <w:rFonts w:eastAsia="Times New Roman"/>
          <w:color w:val="auto"/>
        </w:rPr>
        <w:t>.1</w:t>
      </w:r>
      <w:r>
        <w:rPr>
          <w:rFonts w:eastAsia="Times New Roman"/>
          <w:color w:val="auto"/>
        </w:rPr>
        <w:tab/>
      </w:r>
      <w:r w:rsidR="004E3EB6" w:rsidRPr="004E3EB6">
        <w:rPr>
          <w:rFonts w:eastAsia="Times New Roman"/>
          <w:color w:val="auto"/>
        </w:rPr>
        <w:t>It is not envisaged that there will be any requirement for changes to staffing levels at this stage. The Leadership Team will keep this under review</w:t>
      </w:r>
      <w:r w:rsidR="008E27E8">
        <w:rPr>
          <w:rFonts w:eastAsia="Times New Roman"/>
          <w:color w:val="auto"/>
        </w:rPr>
        <w:t xml:space="preserve"> and any </w:t>
      </w:r>
      <w:r w:rsidR="004E3EB6" w:rsidRPr="004E3EB6">
        <w:rPr>
          <w:rFonts w:eastAsia="Times New Roman"/>
          <w:color w:val="auto"/>
        </w:rPr>
        <w:t>training requirements will be resourced and met internally.</w:t>
      </w:r>
    </w:p>
    <w:p w:rsidR="004E3EB6" w:rsidRPr="004E3EB6" w:rsidRDefault="004E3EB6" w:rsidP="004E3EB6">
      <w:pPr>
        <w:spacing w:after="0" w:line="240" w:lineRule="auto"/>
        <w:ind w:left="0" w:firstLine="0"/>
        <w:rPr>
          <w:rFonts w:eastAsia="Times New Roman"/>
          <w:b/>
          <w:color w:val="auto"/>
        </w:rPr>
      </w:pPr>
    </w:p>
    <w:p w:rsidR="004E3EB6" w:rsidRPr="004E3EB6" w:rsidRDefault="009C142B" w:rsidP="002D0E8A">
      <w:pPr>
        <w:spacing w:after="0" w:line="240" w:lineRule="auto"/>
        <w:ind w:left="567" w:hanging="567"/>
        <w:rPr>
          <w:rFonts w:eastAsia="Times New Roman"/>
          <w:b/>
          <w:caps/>
          <w:color w:val="auto"/>
        </w:rPr>
      </w:pPr>
      <w:r>
        <w:rPr>
          <w:rFonts w:eastAsia="Times New Roman"/>
          <w:b/>
          <w:caps/>
          <w:color w:val="auto"/>
        </w:rPr>
        <w:t>1</w:t>
      </w:r>
      <w:r w:rsidR="00CC0A50">
        <w:rPr>
          <w:rFonts w:eastAsia="Times New Roman"/>
          <w:b/>
          <w:caps/>
          <w:color w:val="auto"/>
        </w:rPr>
        <w:t>1</w:t>
      </w:r>
      <w:r>
        <w:rPr>
          <w:rFonts w:eastAsia="Times New Roman"/>
          <w:b/>
          <w:caps/>
          <w:color w:val="auto"/>
        </w:rPr>
        <w:t xml:space="preserve">. </w:t>
      </w:r>
      <w:r w:rsidR="002D0E8A">
        <w:rPr>
          <w:rFonts w:eastAsia="Times New Roman"/>
          <w:b/>
          <w:caps/>
          <w:color w:val="auto"/>
        </w:rPr>
        <w:tab/>
      </w:r>
      <w:r w:rsidR="004E3EB6" w:rsidRPr="004E3EB6">
        <w:rPr>
          <w:rFonts w:eastAsia="Times New Roman"/>
          <w:b/>
          <w:caps/>
          <w:color w:val="auto"/>
        </w:rPr>
        <w:t>ICT/technology implications</w:t>
      </w:r>
    </w:p>
    <w:p w:rsidR="004E3EB6" w:rsidRPr="004E3EB6" w:rsidRDefault="004E3EB6" w:rsidP="004E3EB6">
      <w:pPr>
        <w:spacing w:after="0" w:line="240" w:lineRule="auto"/>
        <w:ind w:left="567" w:firstLine="0"/>
        <w:rPr>
          <w:rFonts w:eastAsia="Times New Roman"/>
          <w:b/>
          <w:caps/>
          <w:color w:val="auto"/>
        </w:rPr>
      </w:pPr>
    </w:p>
    <w:p w:rsidR="004E3EB6" w:rsidRPr="004E3EB6" w:rsidRDefault="00134039" w:rsidP="00134039">
      <w:pPr>
        <w:spacing w:after="0" w:line="240" w:lineRule="auto"/>
        <w:ind w:left="567" w:hanging="567"/>
        <w:rPr>
          <w:rFonts w:eastAsia="Times New Roman"/>
          <w:caps/>
          <w:color w:val="auto"/>
        </w:rPr>
      </w:pPr>
      <w:r>
        <w:rPr>
          <w:rFonts w:eastAsia="Times New Roman"/>
          <w:color w:val="auto"/>
        </w:rPr>
        <w:t>1</w:t>
      </w:r>
      <w:r w:rsidR="00CC0A50">
        <w:rPr>
          <w:rFonts w:eastAsia="Times New Roman"/>
          <w:color w:val="auto"/>
        </w:rPr>
        <w:t>1</w:t>
      </w:r>
      <w:r>
        <w:rPr>
          <w:rFonts w:eastAsia="Times New Roman"/>
          <w:color w:val="auto"/>
        </w:rPr>
        <w:t>.1</w:t>
      </w:r>
      <w:r>
        <w:rPr>
          <w:rFonts w:eastAsia="Times New Roman"/>
          <w:color w:val="auto"/>
        </w:rPr>
        <w:tab/>
      </w:r>
      <w:r w:rsidR="004E3EB6" w:rsidRPr="004E3EB6">
        <w:rPr>
          <w:rFonts w:eastAsia="Times New Roman"/>
          <w:color w:val="auto"/>
        </w:rPr>
        <w:t>It will be necessary to procure any required additional Capita modules, which will require installation and testing, together with end user training.</w:t>
      </w:r>
    </w:p>
    <w:p w:rsidR="006B593F" w:rsidRDefault="006B593F" w:rsidP="006B593F">
      <w:pPr>
        <w:spacing w:after="0" w:line="240" w:lineRule="auto"/>
        <w:ind w:left="0" w:firstLine="0"/>
        <w:rPr>
          <w:rFonts w:eastAsia="Times New Roman"/>
          <w:b/>
          <w:caps/>
          <w:color w:val="auto"/>
        </w:rPr>
      </w:pPr>
    </w:p>
    <w:p w:rsidR="004E3EB6" w:rsidRPr="004E3EB6" w:rsidRDefault="009C142B" w:rsidP="002D0E8A">
      <w:pPr>
        <w:spacing w:after="0" w:line="240" w:lineRule="auto"/>
        <w:ind w:left="567" w:hanging="567"/>
        <w:rPr>
          <w:rFonts w:eastAsia="Times New Roman"/>
          <w:b/>
          <w:caps/>
          <w:color w:val="auto"/>
        </w:rPr>
      </w:pPr>
      <w:r>
        <w:rPr>
          <w:rFonts w:eastAsia="Times New Roman"/>
          <w:b/>
          <w:caps/>
          <w:color w:val="auto"/>
        </w:rPr>
        <w:t>1</w:t>
      </w:r>
      <w:r w:rsidR="00CC0A50">
        <w:rPr>
          <w:rFonts w:eastAsia="Times New Roman"/>
          <w:b/>
          <w:caps/>
          <w:color w:val="auto"/>
        </w:rPr>
        <w:t>2</w:t>
      </w:r>
      <w:r>
        <w:rPr>
          <w:rFonts w:eastAsia="Times New Roman"/>
          <w:b/>
          <w:caps/>
          <w:color w:val="auto"/>
        </w:rPr>
        <w:t xml:space="preserve">. </w:t>
      </w:r>
      <w:r w:rsidR="002D0E8A">
        <w:rPr>
          <w:rFonts w:eastAsia="Times New Roman"/>
          <w:b/>
          <w:caps/>
          <w:color w:val="auto"/>
        </w:rPr>
        <w:tab/>
      </w:r>
      <w:r w:rsidR="004E3EB6" w:rsidRPr="004E3EB6">
        <w:rPr>
          <w:rFonts w:eastAsia="Times New Roman"/>
          <w:b/>
          <w:caps/>
          <w:color w:val="auto"/>
        </w:rPr>
        <w:t>Property and Asset Management implications</w:t>
      </w:r>
    </w:p>
    <w:p w:rsidR="004E3EB6" w:rsidRPr="004E3EB6" w:rsidRDefault="004E3EB6" w:rsidP="004E3EB6">
      <w:pPr>
        <w:spacing w:after="0" w:line="240" w:lineRule="auto"/>
        <w:ind w:left="567" w:firstLine="0"/>
        <w:rPr>
          <w:rFonts w:eastAsia="Times New Roman"/>
          <w:b/>
          <w:caps/>
          <w:color w:val="auto"/>
        </w:rPr>
      </w:pPr>
    </w:p>
    <w:p w:rsidR="004E3EB6" w:rsidRPr="004E3EB6" w:rsidRDefault="00134039" w:rsidP="00134039">
      <w:pPr>
        <w:spacing w:after="0" w:line="240" w:lineRule="auto"/>
        <w:ind w:left="567" w:hanging="567"/>
        <w:rPr>
          <w:rFonts w:eastAsia="Times New Roman"/>
          <w:b/>
          <w:color w:val="auto"/>
        </w:rPr>
      </w:pPr>
      <w:r>
        <w:rPr>
          <w:rFonts w:eastAsia="Times New Roman"/>
          <w:color w:val="auto"/>
        </w:rPr>
        <w:t>1</w:t>
      </w:r>
      <w:r w:rsidR="00CC0A50">
        <w:rPr>
          <w:rFonts w:eastAsia="Times New Roman"/>
          <w:color w:val="auto"/>
        </w:rPr>
        <w:t>2</w:t>
      </w:r>
      <w:r>
        <w:rPr>
          <w:rFonts w:eastAsia="Times New Roman"/>
          <w:color w:val="auto"/>
        </w:rPr>
        <w:t>.1</w:t>
      </w:r>
      <w:r>
        <w:rPr>
          <w:rFonts w:eastAsia="Times New Roman"/>
          <w:color w:val="auto"/>
        </w:rPr>
        <w:tab/>
      </w:r>
      <w:r w:rsidR="004E3EB6" w:rsidRPr="004E3EB6">
        <w:rPr>
          <w:rFonts w:eastAsia="Times New Roman"/>
          <w:color w:val="auto"/>
        </w:rPr>
        <w:t xml:space="preserve">There are no known implications for the physical estate.  </w:t>
      </w:r>
    </w:p>
    <w:p w:rsidR="004E3EB6" w:rsidRPr="004E3EB6" w:rsidRDefault="004E3EB6" w:rsidP="004E3EB6">
      <w:pPr>
        <w:spacing w:after="0" w:line="240" w:lineRule="auto"/>
        <w:ind w:left="284" w:firstLine="0"/>
        <w:rPr>
          <w:rFonts w:eastAsia="Times New Roman"/>
          <w:b/>
          <w:color w:val="7030A0"/>
        </w:rPr>
      </w:pPr>
    </w:p>
    <w:p w:rsidR="004E3EB6" w:rsidRPr="004E3EB6" w:rsidRDefault="009C142B" w:rsidP="002D0E8A">
      <w:pPr>
        <w:spacing w:after="0" w:line="240" w:lineRule="auto"/>
        <w:ind w:left="567" w:hanging="567"/>
        <w:rPr>
          <w:rFonts w:eastAsia="Times New Roman"/>
          <w:b/>
          <w:color w:val="auto"/>
        </w:rPr>
      </w:pPr>
      <w:r>
        <w:rPr>
          <w:rFonts w:eastAsia="Times New Roman"/>
          <w:b/>
          <w:color w:val="auto"/>
        </w:rPr>
        <w:t>1</w:t>
      </w:r>
      <w:r w:rsidR="00CC0A50">
        <w:rPr>
          <w:rFonts w:eastAsia="Times New Roman"/>
          <w:b/>
          <w:color w:val="auto"/>
        </w:rPr>
        <w:t>3</w:t>
      </w:r>
      <w:r>
        <w:rPr>
          <w:rFonts w:eastAsia="Times New Roman"/>
          <w:b/>
          <w:color w:val="auto"/>
        </w:rPr>
        <w:t xml:space="preserve">. </w:t>
      </w:r>
      <w:r w:rsidR="002D0E8A">
        <w:rPr>
          <w:rFonts w:eastAsia="Times New Roman"/>
          <w:b/>
          <w:color w:val="auto"/>
        </w:rPr>
        <w:tab/>
      </w:r>
      <w:r w:rsidR="004E3EB6" w:rsidRPr="004E3EB6">
        <w:rPr>
          <w:rFonts w:eastAsia="Times New Roman"/>
          <w:b/>
          <w:color w:val="auto"/>
        </w:rPr>
        <w:t>RISK MANAGEMENT</w:t>
      </w:r>
    </w:p>
    <w:p w:rsidR="004E3EB6" w:rsidRPr="004E3EB6" w:rsidRDefault="004E3EB6" w:rsidP="004E3EB6">
      <w:pPr>
        <w:spacing w:after="0" w:line="240" w:lineRule="auto"/>
        <w:ind w:left="567" w:firstLine="0"/>
        <w:rPr>
          <w:rFonts w:eastAsia="Times New Roman"/>
          <w:b/>
          <w:color w:val="auto"/>
        </w:rPr>
      </w:pPr>
    </w:p>
    <w:p w:rsidR="004E3EB6" w:rsidRPr="00C01353" w:rsidRDefault="00134039" w:rsidP="00134039">
      <w:pPr>
        <w:spacing w:after="0" w:line="240" w:lineRule="auto"/>
        <w:ind w:left="567" w:hanging="567"/>
        <w:rPr>
          <w:rFonts w:eastAsia="Times New Roman"/>
          <w:b/>
          <w:color w:val="auto"/>
        </w:rPr>
      </w:pPr>
      <w:r>
        <w:rPr>
          <w:rFonts w:eastAsia="Times New Roman"/>
          <w:color w:val="auto"/>
        </w:rPr>
        <w:t>1</w:t>
      </w:r>
      <w:r w:rsidR="00CC0A50">
        <w:rPr>
          <w:rFonts w:eastAsia="Times New Roman"/>
          <w:color w:val="auto"/>
        </w:rPr>
        <w:t>3</w:t>
      </w:r>
      <w:r>
        <w:rPr>
          <w:rFonts w:eastAsia="Times New Roman"/>
          <w:color w:val="auto"/>
        </w:rPr>
        <w:t>.1</w:t>
      </w:r>
      <w:r>
        <w:rPr>
          <w:rFonts w:eastAsia="Times New Roman"/>
          <w:color w:val="auto"/>
        </w:rPr>
        <w:tab/>
      </w:r>
      <w:r w:rsidR="004E3EB6" w:rsidRPr="004E3EB6">
        <w:rPr>
          <w:rFonts w:eastAsia="Times New Roman"/>
          <w:color w:val="auto"/>
        </w:rPr>
        <w:t xml:space="preserve">There are no known residual risks at the time of writing this report. Nevertheless the GRACE Risk Management System has been updated to highlight the risks associated with this report and proposals therein. </w:t>
      </w:r>
    </w:p>
    <w:p w:rsidR="00134039" w:rsidRDefault="00134039" w:rsidP="006B593F">
      <w:pPr>
        <w:spacing w:after="0" w:line="240" w:lineRule="auto"/>
        <w:ind w:left="0" w:firstLine="0"/>
        <w:rPr>
          <w:rFonts w:eastAsia="Times New Roman"/>
          <w:b/>
          <w:color w:val="auto"/>
        </w:rPr>
      </w:pPr>
    </w:p>
    <w:p w:rsidR="004E3EB6" w:rsidRPr="004E3EB6" w:rsidRDefault="009C142B" w:rsidP="002D0E8A">
      <w:pPr>
        <w:spacing w:after="0" w:line="240" w:lineRule="auto"/>
        <w:ind w:left="567" w:hanging="567"/>
        <w:rPr>
          <w:rFonts w:eastAsia="Times New Roman"/>
          <w:b/>
          <w:color w:val="auto"/>
        </w:rPr>
      </w:pPr>
      <w:r>
        <w:rPr>
          <w:rFonts w:eastAsia="Times New Roman"/>
          <w:b/>
          <w:color w:val="auto"/>
        </w:rPr>
        <w:t>1</w:t>
      </w:r>
      <w:r w:rsidR="00CC0A50">
        <w:rPr>
          <w:rFonts w:eastAsia="Times New Roman"/>
          <w:b/>
          <w:color w:val="auto"/>
        </w:rPr>
        <w:t>4</w:t>
      </w:r>
      <w:r>
        <w:rPr>
          <w:rFonts w:eastAsia="Times New Roman"/>
          <w:b/>
          <w:color w:val="auto"/>
        </w:rPr>
        <w:t xml:space="preserve">. </w:t>
      </w:r>
      <w:r w:rsidR="002D0E8A">
        <w:rPr>
          <w:rFonts w:eastAsia="Times New Roman"/>
          <w:b/>
          <w:color w:val="auto"/>
        </w:rPr>
        <w:tab/>
      </w:r>
      <w:r w:rsidR="006B593F">
        <w:rPr>
          <w:rFonts w:eastAsia="Times New Roman"/>
          <w:b/>
          <w:color w:val="auto"/>
        </w:rPr>
        <w:t>E</w:t>
      </w:r>
      <w:r w:rsidR="004E3EB6" w:rsidRPr="004E3EB6">
        <w:rPr>
          <w:rFonts w:eastAsia="Times New Roman"/>
          <w:b/>
          <w:color w:val="auto"/>
        </w:rPr>
        <w:t>QUALITY AND DIVERSITY IMPACT</w:t>
      </w:r>
    </w:p>
    <w:p w:rsidR="004E3EB6" w:rsidRPr="004E3EB6" w:rsidRDefault="004E3EB6" w:rsidP="004E3EB6">
      <w:pPr>
        <w:spacing w:after="0" w:line="240" w:lineRule="auto"/>
        <w:ind w:left="567" w:firstLine="0"/>
        <w:rPr>
          <w:rFonts w:eastAsia="Times New Roman"/>
          <w:b/>
          <w:color w:val="auto"/>
        </w:rPr>
      </w:pPr>
    </w:p>
    <w:p w:rsidR="004E3EB6" w:rsidRPr="004E3EB6" w:rsidRDefault="00134039" w:rsidP="00134039">
      <w:pPr>
        <w:spacing w:after="0" w:line="240" w:lineRule="auto"/>
        <w:ind w:left="567" w:hanging="567"/>
        <w:rPr>
          <w:rFonts w:eastAsia="Times New Roman"/>
          <w:b/>
          <w:color w:val="auto"/>
        </w:rPr>
      </w:pPr>
      <w:r>
        <w:rPr>
          <w:rFonts w:eastAsia="Times New Roman"/>
          <w:color w:val="auto"/>
        </w:rPr>
        <w:t>1</w:t>
      </w:r>
      <w:r w:rsidR="00CC0A50">
        <w:rPr>
          <w:rFonts w:eastAsia="Times New Roman"/>
          <w:color w:val="auto"/>
        </w:rPr>
        <w:t>4</w:t>
      </w:r>
      <w:r>
        <w:rPr>
          <w:rFonts w:eastAsia="Times New Roman"/>
          <w:color w:val="auto"/>
        </w:rPr>
        <w:t>.1</w:t>
      </w:r>
      <w:r>
        <w:rPr>
          <w:rFonts w:eastAsia="Times New Roman"/>
          <w:color w:val="auto"/>
        </w:rPr>
        <w:tab/>
      </w:r>
      <w:r w:rsidR="004E3EB6" w:rsidRPr="004E3EB6">
        <w:rPr>
          <w:rFonts w:eastAsia="Times New Roman"/>
          <w:color w:val="auto"/>
        </w:rPr>
        <w:t>A full Equality Impact Assessment (EIA) was carried out in January 2013 in relation to the scheme introduced in April 2013. A further EIA will be required for any proposed new CTS scheme.</w:t>
      </w:r>
    </w:p>
    <w:p w:rsidR="004E3EB6" w:rsidRDefault="004E3EB6" w:rsidP="004E3EB6">
      <w:pPr>
        <w:spacing w:after="0" w:line="240" w:lineRule="auto"/>
        <w:ind w:left="567" w:firstLine="0"/>
        <w:rPr>
          <w:rFonts w:eastAsia="Times New Roman"/>
          <w:b/>
          <w:color w:val="auto"/>
        </w:rPr>
      </w:pPr>
    </w:p>
    <w:p w:rsidR="004E3EB6" w:rsidRPr="004E3EB6" w:rsidRDefault="009C142B" w:rsidP="002D0E8A">
      <w:pPr>
        <w:spacing w:after="160" w:line="259" w:lineRule="auto"/>
        <w:ind w:left="567" w:hanging="567"/>
        <w:contextualSpacing/>
        <w:rPr>
          <w:rFonts w:eastAsia="Calibri"/>
          <w:b/>
          <w:color w:val="auto"/>
          <w:lang w:eastAsia="en-US"/>
        </w:rPr>
      </w:pPr>
      <w:r>
        <w:rPr>
          <w:rFonts w:eastAsia="Calibri"/>
          <w:b/>
          <w:color w:val="auto"/>
          <w:lang w:eastAsia="en-US"/>
        </w:rPr>
        <w:t>1</w:t>
      </w:r>
      <w:r w:rsidR="00CC0A50">
        <w:rPr>
          <w:rFonts w:eastAsia="Calibri"/>
          <w:b/>
          <w:color w:val="auto"/>
          <w:lang w:eastAsia="en-US"/>
        </w:rPr>
        <w:t>5</w:t>
      </w:r>
      <w:r>
        <w:rPr>
          <w:rFonts w:eastAsia="Calibri"/>
          <w:b/>
          <w:color w:val="auto"/>
          <w:lang w:eastAsia="en-US"/>
        </w:rPr>
        <w:t>.</w:t>
      </w:r>
      <w:r w:rsidR="002D0E8A">
        <w:rPr>
          <w:rFonts w:eastAsia="Calibri"/>
          <w:b/>
          <w:color w:val="auto"/>
          <w:lang w:eastAsia="en-US"/>
        </w:rPr>
        <w:tab/>
      </w:r>
      <w:r>
        <w:rPr>
          <w:rFonts w:eastAsia="Calibri"/>
          <w:b/>
          <w:color w:val="auto"/>
          <w:lang w:eastAsia="en-US"/>
        </w:rPr>
        <w:t xml:space="preserve"> </w:t>
      </w:r>
      <w:r w:rsidR="004E3EB6" w:rsidRPr="004E3EB6">
        <w:rPr>
          <w:rFonts w:eastAsia="Calibri"/>
          <w:b/>
          <w:color w:val="auto"/>
          <w:lang w:eastAsia="en-US"/>
        </w:rPr>
        <w:t xml:space="preserve">RELEVANT DIRECTORS RECOMMENDATIONS </w:t>
      </w:r>
    </w:p>
    <w:p w:rsidR="004E3EB6" w:rsidRPr="004E3EB6" w:rsidRDefault="004E3EB6" w:rsidP="004E3EB6">
      <w:pPr>
        <w:spacing w:after="160" w:line="259" w:lineRule="auto"/>
        <w:ind w:left="567" w:firstLine="0"/>
        <w:contextualSpacing/>
        <w:rPr>
          <w:rFonts w:eastAsia="Calibri"/>
          <w:b/>
          <w:color w:val="auto"/>
          <w:lang w:eastAsia="en-US"/>
        </w:rPr>
      </w:pPr>
    </w:p>
    <w:p w:rsidR="00B81853" w:rsidRDefault="00134039" w:rsidP="00B81853">
      <w:pPr>
        <w:spacing w:after="160" w:line="259" w:lineRule="auto"/>
        <w:ind w:left="567" w:hanging="567"/>
        <w:contextualSpacing/>
        <w:rPr>
          <w:rFonts w:eastAsia="Calibri"/>
          <w:color w:val="auto"/>
          <w:lang w:eastAsia="en-US"/>
        </w:rPr>
      </w:pPr>
      <w:r>
        <w:rPr>
          <w:rFonts w:eastAsia="Calibri"/>
          <w:color w:val="auto"/>
          <w:lang w:eastAsia="en-US"/>
        </w:rPr>
        <w:t>1</w:t>
      </w:r>
      <w:r w:rsidR="00CC0A50">
        <w:rPr>
          <w:rFonts w:eastAsia="Calibri"/>
          <w:color w:val="auto"/>
          <w:lang w:eastAsia="en-US"/>
        </w:rPr>
        <w:t>5</w:t>
      </w:r>
      <w:r>
        <w:rPr>
          <w:rFonts w:eastAsia="Calibri"/>
          <w:color w:val="auto"/>
          <w:lang w:eastAsia="en-US"/>
        </w:rPr>
        <w:t>.1</w:t>
      </w:r>
      <w:r>
        <w:rPr>
          <w:rFonts w:eastAsia="Calibri"/>
          <w:color w:val="auto"/>
          <w:lang w:eastAsia="en-US"/>
        </w:rPr>
        <w:tab/>
      </w:r>
      <w:r w:rsidR="00B81853" w:rsidRPr="00B81853">
        <w:rPr>
          <w:rFonts w:eastAsia="Calibri"/>
          <w:color w:val="auto"/>
          <w:lang w:eastAsia="en-US"/>
        </w:rPr>
        <w:t xml:space="preserve">That the Cabinet notes the recent Government budget announcements and the remodelling work carried out to inform the formal consultation required to adopt a revised Council Tax Support scheme for 2020/2021. </w:t>
      </w:r>
    </w:p>
    <w:p w:rsidR="00B81853" w:rsidRPr="00B81853" w:rsidRDefault="00B81853" w:rsidP="00B81853">
      <w:pPr>
        <w:spacing w:after="160" w:line="259" w:lineRule="auto"/>
        <w:ind w:left="567" w:hanging="567"/>
        <w:contextualSpacing/>
        <w:rPr>
          <w:rFonts w:eastAsia="Calibri"/>
          <w:color w:val="auto"/>
          <w:lang w:eastAsia="en-US"/>
        </w:rPr>
      </w:pPr>
    </w:p>
    <w:p w:rsidR="00B81853" w:rsidRPr="00B81853" w:rsidRDefault="00B81853" w:rsidP="00B81853">
      <w:pPr>
        <w:spacing w:after="160" w:line="259" w:lineRule="auto"/>
        <w:ind w:left="567" w:hanging="567"/>
        <w:contextualSpacing/>
        <w:rPr>
          <w:rFonts w:eastAsia="Calibri"/>
          <w:color w:val="auto"/>
          <w:lang w:eastAsia="en-US"/>
        </w:rPr>
      </w:pPr>
      <w:r>
        <w:rPr>
          <w:rFonts w:eastAsia="Calibri"/>
          <w:color w:val="auto"/>
          <w:lang w:eastAsia="en-US"/>
        </w:rPr>
        <w:t>15</w:t>
      </w:r>
      <w:r w:rsidRPr="00B81853">
        <w:rPr>
          <w:rFonts w:eastAsia="Calibri"/>
          <w:color w:val="auto"/>
          <w:lang w:eastAsia="en-US"/>
        </w:rPr>
        <w:t>.2</w:t>
      </w:r>
      <w:r w:rsidRPr="00B81853">
        <w:rPr>
          <w:rFonts w:eastAsia="Calibri"/>
          <w:color w:val="auto"/>
          <w:lang w:eastAsia="en-US"/>
        </w:rPr>
        <w:tab/>
        <w:t xml:space="preserve">That the Cabinet notes the proposed work to proactively promote the hardship funds. </w:t>
      </w:r>
    </w:p>
    <w:p w:rsidR="00F41B5C" w:rsidRDefault="00F41B5C" w:rsidP="00F41B5C">
      <w:pPr>
        <w:spacing w:after="160" w:line="259" w:lineRule="auto"/>
        <w:ind w:left="567" w:hanging="567"/>
        <w:contextualSpacing/>
        <w:rPr>
          <w:rFonts w:eastAsia="Calibri"/>
          <w:color w:val="auto"/>
          <w:lang w:eastAsia="en-US"/>
        </w:rPr>
      </w:pPr>
    </w:p>
    <w:p w:rsidR="00C01353" w:rsidRPr="004E3EB6" w:rsidRDefault="00C01353" w:rsidP="004E3EB6">
      <w:pPr>
        <w:spacing w:after="160" w:line="259" w:lineRule="auto"/>
        <w:ind w:left="567" w:hanging="567"/>
        <w:contextualSpacing/>
        <w:rPr>
          <w:rFonts w:eastAsia="Calibri"/>
          <w:color w:val="auto"/>
          <w:lang w:eastAsia="en-US"/>
        </w:rPr>
      </w:pPr>
    </w:p>
    <w:p w:rsidR="004E3EB6" w:rsidRPr="00134039" w:rsidRDefault="009C142B" w:rsidP="004E3EB6">
      <w:pPr>
        <w:spacing w:after="0" w:line="240" w:lineRule="auto"/>
        <w:ind w:left="567" w:hanging="567"/>
        <w:rPr>
          <w:rFonts w:eastAsia="Times New Roman"/>
          <w:b/>
          <w:color w:val="auto"/>
        </w:rPr>
      </w:pPr>
      <w:r w:rsidRPr="00134039">
        <w:rPr>
          <w:rFonts w:eastAsia="Times New Roman"/>
          <w:color w:val="auto"/>
        </w:rPr>
        <w:t>1</w:t>
      </w:r>
      <w:r w:rsidR="00CC0A50">
        <w:rPr>
          <w:rFonts w:eastAsia="Times New Roman"/>
          <w:color w:val="auto"/>
        </w:rPr>
        <w:t>6</w:t>
      </w:r>
      <w:r w:rsidRPr="00134039">
        <w:rPr>
          <w:rFonts w:eastAsia="Times New Roman"/>
          <w:color w:val="auto"/>
        </w:rPr>
        <w:t xml:space="preserve">. </w:t>
      </w:r>
      <w:r w:rsidR="002D0E8A">
        <w:rPr>
          <w:rFonts w:eastAsia="Times New Roman"/>
          <w:color w:val="auto"/>
        </w:rPr>
        <w:tab/>
      </w:r>
      <w:r w:rsidR="004E3EB6" w:rsidRPr="00134039">
        <w:rPr>
          <w:rFonts w:eastAsia="Times New Roman"/>
          <w:b/>
          <w:color w:val="auto"/>
        </w:rPr>
        <w:t>COMMENTS OF THE STATUTORY FINANCE OFFICER</w:t>
      </w:r>
    </w:p>
    <w:p w:rsidR="004E3EB6" w:rsidRPr="004E3EB6" w:rsidRDefault="004E3EB6" w:rsidP="004E3EB6">
      <w:pPr>
        <w:spacing w:after="0" w:line="240" w:lineRule="auto"/>
        <w:ind w:left="567" w:firstLine="0"/>
        <w:rPr>
          <w:rFonts w:eastAsia="Times New Roman"/>
          <w:b/>
          <w:color w:val="FF0000"/>
        </w:rPr>
      </w:pPr>
    </w:p>
    <w:p w:rsidR="009D3591" w:rsidRPr="00411CD7" w:rsidRDefault="00CD628E" w:rsidP="00B9190E">
      <w:pPr>
        <w:spacing w:after="240"/>
        <w:ind w:left="567" w:hanging="567"/>
        <w:rPr>
          <w:color w:val="FF0000"/>
        </w:rPr>
      </w:pPr>
      <w:r>
        <w:t>1</w:t>
      </w:r>
      <w:r w:rsidR="00CC0A50">
        <w:t>6</w:t>
      </w:r>
      <w:r>
        <w:t>.1</w:t>
      </w:r>
      <w:r>
        <w:tab/>
      </w:r>
      <w:r w:rsidR="008B1E25" w:rsidRPr="00411CD7">
        <w:rPr>
          <w:color w:val="auto"/>
        </w:rPr>
        <w:t xml:space="preserve"> </w:t>
      </w:r>
      <w:r w:rsidR="00541242">
        <w:rPr>
          <w:color w:val="auto"/>
        </w:rPr>
        <w:t>The changes to the CTSS are reliant upon an appropriate consultation which will commence on approval of options. The Council will identify options and consult accordingly.</w:t>
      </w:r>
    </w:p>
    <w:p w:rsidR="004E3EB6" w:rsidRPr="00F82358" w:rsidRDefault="009C142B" w:rsidP="004E3EB6">
      <w:pPr>
        <w:spacing w:after="0" w:line="240" w:lineRule="auto"/>
        <w:ind w:left="567" w:hanging="567"/>
        <w:rPr>
          <w:rFonts w:eastAsia="Times New Roman"/>
          <w:b/>
          <w:color w:val="auto"/>
          <w:szCs w:val="20"/>
        </w:rPr>
      </w:pPr>
      <w:r w:rsidRPr="00F82358">
        <w:rPr>
          <w:rFonts w:eastAsia="Times New Roman"/>
          <w:b/>
          <w:color w:val="auto"/>
          <w:szCs w:val="20"/>
        </w:rPr>
        <w:t>1</w:t>
      </w:r>
      <w:r w:rsidR="00CC0A50" w:rsidRPr="00F82358">
        <w:rPr>
          <w:rFonts w:eastAsia="Times New Roman"/>
          <w:b/>
          <w:color w:val="auto"/>
          <w:szCs w:val="20"/>
        </w:rPr>
        <w:t>7</w:t>
      </w:r>
      <w:r w:rsidRPr="00F82358">
        <w:rPr>
          <w:rFonts w:eastAsia="Times New Roman"/>
          <w:b/>
          <w:color w:val="auto"/>
          <w:szCs w:val="20"/>
        </w:rPr>
        <w:t xml:space="preserve">. </w:t>
      </w:r>
      <w:r w:rsidR="002D0E8A" w:rsidRPr="00F82358">
        <w:rPr>
          <w:rFonts w:eastAsia="Times New Roman"/>
          <w:b/>
          <w:color w:val="auto"/>
          <w:szCs w:val="20"/>
        </w:rPr>
        <w:tab/>
      </w:r>
      <w:r w:rsidR="004E3EB6" w:rsidRPr="00F82358">
        <w:rPr>
          <w:rFonts w:eastAsia="Times New Roman"/>
          <w:b/>
          <w:color w:val="auto"/>
          <w:szCs w:val="20"/>
        </w:rPr>
        <w:t>COMMENTS OF THE MONITORING OFFICER</w:t>
      </w:r>
    </w:p>
    <w:p w:rsidR="00E82A4F" w:rsidRPr="00F82358" w:rsidRDefault="00E82A4F" w:rsidP="00CD628E">
      <w:pPr>
        <w:spacing w:after="0" w:line="240" w:lineRule="auto"/>
        <w:ind w:left="567" w:hanging="567"/>
        <w:rPr>
          <w:rFonts w:eastAsia="Times New Roman"/>
          <w:color w:val="auto"/>
          <w:szCs w:val="20"/>
        </w:rPr>
      </w:pPr>
    </w:p>
    <w:p w:rsidR="00776A21" w:rsidRPr="00F82358" w:rsidRDefault="00CD628E" w:rsidP="00CD628E">
      <w:pPr>
        <w:spacing w:after="0" w:line="240" w:lineRule="auto"/>
        <w:ind w:left="567" w:hanging="567"/>
        <w:rPr>
          <w:rFonts w:eastAsia="Times New Roman"/>
          <w:color w:val="auto"/>
          <w:szCs w:val="20"/>
        </w:rPr>
      </w:pPr>
      <w:r w:rsidRPr="00F82358">
        <w:rPr>
          <w:rFonts w:eastAsia="Times New Roman"/>
          <w:color w:val="auto"/>
          <w:szCs w:val="20"/>
        </w:rPr>
        <w:t>1</w:t>
      </w:r>
      <w:r w:rsidR="00CC0A50" w:rsidRPr="00F82358">
        <w:rPr>
          <w:rFonts w:eastAsia="Times New Roman"/>
          <w:color w:val="auto"/>
          <w:szCs w:val="20"/>
        </w:rPr>
        <w:t>7</w:t>
      </w:r>
      <w:r w:rsidRPr="00F82358">
        <w:rPr>
          <w:rFonts w:eastAsia="Times New Roman"/>
          <w:color w:val="auto"/>
          <w:szCs w:val="20"/>
        </w:rPr>
        <w:t xml:space="preserve">.1 </w:t>
      </w:r>
      <w:r w:rsidRPr="00F82358">
        <w:rPr>
          <w:rFonts w:eastAsia="Times New Roman"/>
          <w:color w:val="auto"/>
          <w:szCs w:val="20"/>
        </w:rPr>
        <w:tab/>
      </w:r>
      <w:r w:rsidR="002939DC" w:rsidRPr="00F82358">
        <w:rPr>
          <w:rFonts w:eastAsia="Times New Roman"/>
          <w:color w:val="auto"/>
          <w:szCs w:val="20"/>
        </w:rPr>
        <w:t>Please see the legal Implications set out above. Whatever is ultimately decided in this regard we must ensure that we first go through a robust consultation exercise with regard to the relevant proposals</w:t>
      </w:r>
      <w:r w:rsidR="00F82358">
        <w:rPr>
          <w:rFonts w:eastAsia="Times New Roman"/>
          <w:color w:val="auto"/>
          <w:szCs w:val="20"/>
        </w:rPr>
        <w:t xml:space="preserve"> w</w:t>
      </w:r>
      <w:r w:rsidR="002939DC" w:rsidRPr="00F82358">
        <w:rPr>
          <w:rFonts w:eastAsia="Times New Roman"/>
          <w:color w:val="auto"/>
          <w:szCs w:val="20"/>
        </w:rPr>
        <w:t xml:space="preserve">hilst this has been something of a drawn out process it is imperative that we come up with a solution that is as equitable and efficient as possible. </w:t>
      </w:r>
    </w:p>
    <w:p w:rsidR="00E82A4F" w:rsidRPr="00F82358" w:rsidRDefault="00E82A4F" w:rsidP="004E3EB6">
      <w:pPr>
        <w:spacing w:after="0" w:line="240" w:lineRule="auto"/>
        <w:ind w:left="567" w:hanging="567"/>
        <w:rPr>
          <w:rFonts w:eastAsia="Times New Roman"/>
          <w:b/>
          <w:color w:val="auto"/>
        </w:rPr>
      </w:pPr>
    </w:p>
    <w:p w:rsidR="004E3EB6" w:rsidRPr="004E3EB6" w:rsidRDefault="004E3EB6" w:rsidP="004E3EB6">
      <w:pPr>
        <w:spacing w:after="0" w:line="240" w:lineRule="auto"/>
        <w:ind w:left="567" w:hanging="567"/>
        <w:rPr>
          <w:rFonts w:eastAsia="Times New Roman"/>
          <w:b/>
          <w:color w:val="auto"/>
        </w:rPr>
      </w:pPr>
      <w:r w:rsidRPr="004E3EB6">
        <w:rPr>
          <w:rFonts w:eastAsia="Times New Roman"/>
          <w:b/>
          <w:color w:val="auto"/>
        </w:rPr>
        <w:t xml:space="preserve">BACKGROUND DOCUMENTS </w:t>
      </w:r>
    </w:p>
    <w:p w:rsidR="00E82A4F" w:rsidRDefault="00E82A4F" w:rsidP="004E3EB6">
      <w:pPr>
        <w:spacing w:after="0" w:line="240" w:lineRule="auto"/>
        <w:ind w:left="567" w:hanging="567"/>
        <w:rPr>
          <w:rFonts w:eastAsia="Times New Roman"/>
          <w:b/>
          <w:color w:val="auto"/>
        </w:rPr>
      </w:pPr>
    </w:p>
    <w:p w:rsidR="004E3EB6" w:rsidRDefault="004E3EB6" w:rsidP="004E3EB6">
      <w:pPr>
        <w:spacing w:after="0" w:line="240" w:lineRule="auto"/>
        <w:ind w:left="567" w:hanging="567"/>
        <w:rPr>
          <w:rFonts w:eastAsia="Times New Roman"/>
          <w:b/>
          <w:color w:val="auto"/>
        </w:rPr>
      </w:pPr>
      <w:r w:rsidRPr="004E3EB6">
        <w:rPr>
          <w:rFonts w:eastAsia="Times New Roman"/>
          <w:b/>
          <w:color w:val="auto"/>
        </w:rPr>
        <w:t xml:space="preserve">APPENDICES </w:t>
      </w:r>
    </w:p>
    <w:p w:rsidR="00E82A4F" w:rsidRDefault="00516D3D" w:rsidP="004E3EB6">
      <w:pPr>
        <w:spacing w:after="0" w:line="240" w:lineRule="auto"/>
        <w:ind w:left="567" w:hanging="567"/>
        <w:rPr>
          <w:rFonts w:eastAsia="Times New Roman"/>
          <w:color w:val="auto"/>
        </w:rPr>
      </w:pPr>
      <w:r w:rsidRPr="00516D3D">
        <w:rPr>
          <w:rFonts w:eastAsia="Times New Roman"/>
          <w:color w:val="auto"/>
        </w:rPr>
        <w:t>Appendix 1 Scheme Modelling Options</w:t>
      </w:r>
    </w:p>
    <w:p w:rsidR="00B03359" w:rsidRDefault="00B03359" w:rsidP="004E3EB6">
      <w:pPr>
        <w:spacing w:after="0" w:line="240" w:lineRule="auto"/>
        <w:ind w:left="567" w:hanging="567"/>
        <w:rPr>
          <w:rFonts w:eastAsia="Times New Roman"/>
          <w:color w:val="auto"/>
        </w:rPr>
      </w:pPr>
      <w:r>
        <w:rPr>
          <w:rFonts w:eastAsia="Times New Roman"/>
          <w:color w:val="auto"/>
        </w:rPr>
        <w:t xml:space="preserve">Appendix 2 </w:t>
      </w:r>
      <w:r w:rsidR="00CD64F8">
        <w:rPr>
          <w:rFonts w:eastAsia="Times New Roman"/>
          <w:color w:val="auto"/>
        </w:rPr>
        <w:t>Draft Local Support Fund Leaflet</w:t>
      </w:r>
      <w:r w:rsidR="00E0312C">
        <w:rPr>
          <w:rFonts w:eastAsia="Times New Roman"/>
          <w:color w:val="auto"/>
        </w:rPr>
        <w:t>s</w:t>
      </w:r>
      <w:r w:rsidR="00CC0FA6">
        <w:rPr>
          <w:rFonts w:eastAsia="Times New Roman"/>
          <w:color w:val="auto"/>
        </w:rPr>
        <w:t xml:space="preserve"> </w:t>
      </w:r>
    </w:p>
    <w:p w:rsidR="00CF5F50" w:rsidRPr="00516D3D" w:rsidRDefault="00CF5F50" w:rsidP="004E3EB6">
      <w:pPr>
        <w:spacing w:after="0" w:line="240" w:lineRule="auto"/>
        <w:ind w:left="567" w:hanging="567"/>
        <w:rPr>
          <w:rFonts w:eastAsia="Times New Roman"/>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4E3EB6" w:rsidRPr="004E3EB6" w:rsidTr="00B9190E">
        <w:tc>
          <w:tcPr>
            <w:tcW w:w="5614" w:type="dxa"/>
            <w:shd w:val="clear" w:color="auto" w:fill="auto"/>
          </w:tcPr>
          <w:p w:rsidR="004E3EB6" w:rsidRPr="004E3EB6" w:rsidRDefault="004E3EB6" w:rsidP="004E3EB6">
            <w:pPr>
              <w:spacing w:after="0" w:line="240" w:lineRule="auto"/>
              <w:ind w:left="0" w:firstLine="0"/>
              <w:rPr>
                <w:rFonts w:eastAsia="Times New Roman"/>
                <w:color w:val="auto"/>
              </w:rPr>
            </w:pPr>
            <w:r w:rsidRPr="004E3EB6">
              <w:rPr>
                <w:rFonts w:eastAsia="Times New Roman"/>
                <w:color w:val="auto"/>
              </w:rPr>
              <w:tab/>
              <w:t>Report Author:</w:t>
            </w:r>
          </w:p>
        </w:tc>
        <w:tc>
          <w:tcPr>
            <w:tcW w:w="1555" w:type="dxa"/>
            <w:shd w:val="clear" w:color="auto" w:fill="auto"/>
          </w:tcPr>
          <w:p w:rsidR="004E3EB6" w:rsidRPr="004E3EB6" w:rsidRDefault="004E3EB6" w:rsidP="004E3EB6">
            <w:pPr>
              <w:spacing w:after="0" w:line="240" w:lineRule="auto"/>
              <w:ind w:left="0" w:firstLine="0"/>
              <w:rPr>
                <w:rFonts w:eastAsia="Times New Roman"/>
                <w:color w:val="auto"/>
              </w:rPr>
            </w:pPr>
            <w:r w:rsidRPr="004E3EB6">
              <w:rPr>
                <w:rFonts w:eastAsia="Times New Roman"/>
                <w:color w:val="auto"/>
              </w:rPr>
              <w:t>Telephone:</w:t>
            </w:r>
          </w:p>
        </w:tc>
        <w:tc>
          <w:tcPr>
            <w:tcW w:w="2351" w:type="dxa"/>
            <w:shd w:val="clear" w:color="auto" w:fill="auto"/>
          </w:tcPr>
          <w:p w:rsidR="004E3EB6" w:rsidRPr="004E3EB6" w:rsidRDefault="004E3EB6" w:rsidP="004E3EB6">
            <w:pPr>
              <w:spacing w:after="0" w:line="240" w:lineRule="auto"/>
              <w:ind w:left="0" w:firstLine="0"/>
              <w:rPr>
                <w:rFonts w:eastAsia="Times New Roman"/>
                <w:color w:val="auto"/>
              </w:rPr>
            </w:pPr>
            <w:r w:rsidRPr="004E3EB6">
              <w:rPr>
                <w:rFonts w:eastAsia="Times New Roman"/>
                <w:color w:val="auto"/>
              </w:rPr>
              <w:t>Date:</w:t>
            </w:r>
          </w:p>
        </w:tc>
      </w:tr>
      <w:tr w:rsidR="004E3EB6" w:rsidRPr="004E3EB6" w:rsidTr="00B9190E">
        <w:tc>
          <w:tcPr>
            <w:tcW w:w="5614" w:type="dxa"/>
            <w:shd w:val="clear" w:color="auto" w:fill="auto"/>
          </w:tcPr>
          <w:p w:rsidR="004E3EB6" w:rsidRPr="004E3EB6" w:rsidRDefault="0056702B" w:rsidP="004E3EB6">
            <w:pPr>
              <w:spacing w:after="0" w:line="240" w:lineRule="auto"/>
              <w:ind w:left="0" w:firstLine="0"/>
              <w:rPr>
                <w:rFonts w:eastAsia="Times New Roman"/>
                <w:color w:val="auto"/>
              </w:rPr>
            </w:pPr>
            <w:r>
              <w:rPr>
                <w:rFonts w:eastAsia="Times New Roman"/>
                <w:color w:val="auto"/>
              </w:rPr>
              <w:t>Paul Hussey</w:t>
            </w:r>
          </w:p>
        </w:tc>
        <w:tc>
          <w:tcPr>
            <w:tcW w:w="1555" w:type="dxa"/>
            <w:shd w:val="clear" w:color="auto" w:fill="auto"/>
          </w:tcPr>
          <w:p w:rsidR="004E3EB6" w:rsidRPr="004E3EB6" w:rsidRDefault="00F82358" w:rsidP="004E3EB6">
            <w:pPr>
              <w:spacing w:after="0" w:line="240" w:lineRule="auto"/>
              <w:ind w:left="0" w:firstLine="0"/>
              <w:rPr>
                <w:rFonts w:eastAsia="Times New Roman"/>
                <w:color w:val="auto"/>
              </w:rPr>
            </w:pPr>
            <w:r>
              <w:rPr>
                <w:rFonts w:eastAsia="Calibri"/>
                <w:noProof/>
                <w:color w:val="555555"/>
                <w:shd w:val="clear" w:color="auto" w:fill="FFFFFF"/>
              </w:rPr>
              <w:t>0</w:t>
            </w:r>
            <w:r>
              <w:rPr>
                <w:rFonts w:eastAsia="Calibri"/>
                <w:noProof/>
                <w:color w:val="333333"/>
              </w:rPr>
              <w:t>1772 (62) 5522</w:t>
            </w:r>
          </w:p>
        </w:tc>
        <w:tc>
          <w:tcPr>
            <w:tcW w:w="2351" w:type="dxa"/>
            <w:shd w:val="clear" w:color="auto" w:fill="auto"/>
          </w:tcPr>
          <w:p w:rsidR="004E3EB6" w:rsidRPr="004E3EB6" w:rsidRDefault="00F82358" w:rsidP="004E3EB6">
            <w:pPr>
              <w:spacing w:after="0" w:line="240" w:lineRule="auto"/>
              <w:ind w:left="0" w:firstLine="0"/>
              <w:rPr>
                <w:rFonts w:eastAsia="Times New Roman"/>
                <w:color w:val="auto"/>
              </w:rPr>
            </w:pPr>
            <w:r>
              <w:rPr>
                <w:rFonts w:eastAsia="Times New Roman"/>
                <w:color w:val="auto"/>
              </w:rPr>
              <w:t>13</w:t>
            </w:r>
            <w:r w:rsidRPr="00F82358">
              <w:rPr>
                <w:rFonts w:eastAsia="Times New Roman"/>
                <w:color w:val="auto"/>
                <w:vertAlign w:val="superscript"/>
              </w:rPr>
              <w:t>th</w:t>
            </w:r>
            <w:r>
              <w:rPr>
                <w:rFonts w:eastAsia="Times New Roman"/>
                <w:color w:val="auto"/>
              </w:rPr>
              <w:t xml:space="preserve"> February 2019</w:t>
            </w:r>
          </w:p>
        </w:tc>
      </w:tr>
    </w:tbl>
    <w:p w:rsidR="00C01353" w:rsidRDefault="00C01353" w:rsidP="00CD628E">
      <w:pPr>
        <w:pStyle w:val="Heading1"/>
        <w:tabs>
          <w:tab w:val="center" w:pos="335"/>
          <w:tab w:val="center" w:pos="1531"/>
        </w:tabs>
        <w:ind w:left="0" w:firstLine="0"/>
      </w:pPr>
    </w:p>
    <w:sectPr w:rsidR="00C01353">
      <w:footerReference w:type="first" r:id="rId12"/>
      <w:pgSz w:w="11906" w:h="16838"/>
      <w:pgMar w:top="274" w:right="1136" w:bottom="973" w:left="860" w:header="720" w:footer="280" w:gutter="0"/>
      <w:pgNumType w:start="17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6E0" w:rsidRDefault="00C816E0">
      <w:pPr>
        <w:spacing w:after="0" w:line="240" w:lineRule="auto"/>
      </w:pPr>
      <w:r>
        <w:separator/>
      </w:r>
    </w:p>
  </w:endnote>
  <w:endnote w:type="continuationSeparator" w:id="0">
    <w:p w:rsidR="00C816E0" w:rsidRDefault="00C8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690" w:rsidRDefault="004F5690">
    <w:pPr>
      <w:spacing w:after="0" w:line="259" w:lineRule="auto"/>
      <w:ind w:left="0" w:right="140" w:firstLine="0"/>
      <w:jc w:val="center"/>
    </w:pPr>
    <w:r>
      <w:rPr>
        <w:sz w:val="32"/>
      </w:rPr>
      <w:t xml:space="preserve">Page </w:t>
    </w:r>
    <w:r>
      <w:rPr>
        <w:sz w:val="32"/>
      </w:rPr>
      <w:fldChar w:fldCharType="begin"/>
    </w:r>
    <w:r>
      <w:rPr>
        <w:sz w:val="32"/>
      </w:rPr>
      <w:instrText xml:space="preserve"> PAGE   \* MERGEFORMAT </w:instrText>
    </w:r>
    <w:r>
      <w:rPr>
        <w:sz w:val="32"/>
      </w:rPr>
      <w:fldChar w:fldCharType="separate"/>
    </w:r>
    <w:r>
      <w:rPr>
        <w:sz w:val="32"/>
      </w:rPr>
      <w:t>172</w:t>
    </w:r>
    <w:r>
      <w:rPr>
        <w:sz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6E0" w:rsidRDefault="00C816E0">
      <w:pPr>
        <w:spacing w:after="0" w:line="240" w:lineRule="auto"/>
      </w:pPr>
      <w:r>
        <w:separator/>
      </w:r>
    </w:p>
  </w:footnote>
  <w:footnote w:type="continuationSeparator" w:id="0">
    <w:p w:rsidR="00C816E0" w:rsidRDefault="00C81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7222"/>
    <w:multiLevelType w:val="hybridMultilevel"/>
    <w:tmpl w:val="D1FEBC5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40270D0"/>
    <w:multiLevelType w:val="multilevel"/>
    <w:tmpl w:val="4CE2DF5A"/>
    <w:lvl w:ilvl="0">
      <w:start w:val="1"/>
      <w:numFmt w:val="decimal"/>
      <w:lvlText w:val="%1."/>
      <w:lvlJc w:val="left"/>
      <w:pPr>
        <w:ind w:left="634" w:hanging="360"/>
      </w:pPr>
      <w:rPr>
        <w:rFonts w:hint="default"/>
      </w:rPr>
    </w:lvl>
    <w:lvl w:ilvl="1">
      <w:start w:val="1"/>
      <w:numFmt w:val="decimal"/>
      <w:isLgl/>
      <w:lvlText w:val="%1.%2"/>
      <w:lvlJc w:val="left"/>
      <w:pPr>
        <w:ind w:left="570" w:hanging="570"/>
      </w:pPr>
      <w:rPr>
        <w:rFonts w:ascii="Arial" w:eastAsia="Arial" w:hAnsi="Arial" w:cs="Arial" w:hint="default"/>
        <w:color w:val="000000"/>
      </w:rPr>
    </w:lvl>
    <w:lvl w:ilvl="2">
      <w:start w:val="1"/>
      <w:numFmt w:val="decimal"/>
      <w:isLgl/>
      <w:lvlText w:val="%1.%2.%3"/>
      <w:lvlJc w:val="left"/>
      <w:pPr>
        <w:ind w:left="994" w:hanging="720"/>
      </w:pPr>
      <w:rPr>
        <w:rFonts w:ascii="Arial" w:eastAsia="Arial" w:hAnsi="Arial" w:cs="Arial" w:hint="default"/>
        <w:color w:val="000000"/>
      </w:rPr>
    </w:lvl>
    <w:lvl w:ilvl="3">
      <w:start w:val="1"/>
      <w:numFmt w:val="decimal"/>
      <w:isLgl/>
      <w:lvlText w:val="%1.%2.%3.%4"/>
      <w:lvlJc w:val="left"/>
      <w:pPr>
        <w:ind w:left="994" w:hanging="720"/>
      </w:pPr>
      <w:rPr>
        <w:rFonts w:ascii="Arial" w:eastAsia="Arial" w:hAnsi="Arial" w:cs="Arial" w:hint="default"/>
        <w:color w:val="000000"/>
      </w:rPr>
    </w:lvl>
    <w:lvl w:ilvl="4">
      <w:start w:val="1"/>
      <w:numFmt w:val="decimal"/>
      <w:isLgl/>
      <w:lvlText w:val="%1.%2.%3.%4.%5"/>
      <w:lvlJc w:val="left"/>
      <w:pPr>
        <w:ind w:left="1354" w:hanging="1080"/>
      </w:pPr>
      <w:rPr>
        <w:rFonts w:ascii="Arial" w:eastAsia="Arial" w:hAnsi="Arial" w:cs="Arial" w:hint="default"/>
        <w:color w:val="000000"/>
      </w:rPr>
    </w:lvl>
    <w:lvl w:ilvl="5">
      <w:start w:val="1"/>
      <w:numFmt w:val="decimal"/>
      <w:isLgl/>
      <w:lvlText w:val="%1.%2.%3.%4.%5.%6"/>
      <w:lvlJc w:val="left"/>
      <w:pPr>
        <w:ind w:left="1354" w:hanging="1080"/>
      </w:pPr>
      <w:rPr>
        <w:rFonts w:ascii="Arial" w:eastAsia="Arial" w:hAnsi="Arial" w:cs="Arial" w:hint="default"/>
        <w:color w:val="000000"/>
      </w:rPr>
    </w:lvl>
    <w:lvl w:ilvl="6">
      <w:start w:val="1"/>
      <w:numFmt w:val="decimal"/>
      <w:isLgl/>
      <w:lvlText w:val="%1.%2.%3.%4.%5.%6.%7"/>
      <w:lvlJc w:val="left"/>
      <w:pPr>
        <w:ind w:left="1714" w:hanging="1440"/>
      </w:pPr>
      <w:rPr>
        <w:rFonts w:ascii="Arial" w:eastAsia="Arial" w:hAnsi="Arial" w:cs="Arial" w:hint="default"/>
        <w:color w:val="000000"/>
      </w:rPr>
    </w:lvl>
    <w:lvl w:ilvl="7">
      <w:start w:val="1"/>
      <w:numFmt w:val="decimal"/>
      <w:isLgl/>
      <w:lvlText w:val="%1.%2.%3.%4.%5.%6.%7.%8"/>
      <w:lvlJc w:val="left"/>
      <w:pPr>
        <w:ind w:left="1714" w:hanging="1440"/>
      </w:pPr>
      <w:rPr>
        <w:rFonts w:ascii="Arial" w:eastAsia="Arial" w:hAnsi="Arial" w:cs="Arial" w:hint="default"/>
        <w:color w:val="000000"/>
      </w:rPr>
    </w:lvl>
    <w:lvl w:ilvl="8">
      <w:start w:val="1"/>
      <w:numFmt w:val="decimal"/>
      <w:isLgl/>
      <w:lvlText w:val="%1.%2.%3.%4.%5.%6.%7.%8.%9"/>
      <w:lvlJc w:val="left"/>
      <w:pPr>
        <w:ind w:left="2074" w:hanging="1800"/>
      </w:pPr>
      <w:rPr>
        <w:rFonts w:ascii="Arial" w:eastAsia="Arial" w:hAnsi="Arial" w:cs="Arial" w:hint="default"/>
        <w:color w:val="000000"/>
      </w:rPr>
    </w:lvl>
  </w:abstractNum>
  <w:abstractNum w:abstractNumId="2" w15:restartNumberingAfterBreak="0">
    <w:nsid w:val="083F7CEC"/>
    <w:multiLevelType w:val="hybridMultilevel"/>
    <w:tmpl w:val="5D20F65E"/>
    <w:lvl w:ilvl="0" w:tplc="390E16A4">
      <w:start w:val="1"/>
      <w:numFmt w:val="bullet"/>
      <w:lvlText w:val="•"/>
      <w:lvlJc w:val="left"/>
      <w:pPr>
        <w:ind w:left="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084EB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3A05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CC41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043C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288AD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3CD8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2E069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C42A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AB03B0"/>
    <w:multiLevelType w:val="hybridMultilevel"/>
    <w:tmpl w:val="5DAAB5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CA1A8A"/>
    <w:multiLevelType w:val="hybridMultilevel"/>
    <w:tmpl w:val="E208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C578D"/>
    <w:multiLevelType w:val="hybridMultilevel"/>
    <w:tmpl w:val="1F1E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04924"/>
    <w:multiLevelType w:val="hybridMultilevel"/>
    <w:tmpl w:val="6CAECC1E"/>
    <w:lvl w:ilvl="0" w:tplc="1958851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36FE9"/>
    <w:multiLevelType w:val="hybridMultilevel"/>
    <w:tmpl w:val="2BBA01A0"/>
    <w:lvl w:ilvl="0" w:tplc="AB9CF8EE">
      <w:start w:val="1"/>
      <w:numFmt w:val="decimal"/>
      <w:lvlText w:val="%1)"/>
      <w:lvlJc w:val="left"/>
      <w:pPr>
        <w:ind w:left="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22B9E">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20B82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98DB0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7A2A6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D8297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24CEA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2626A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1C160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D640975"/>
    <w:multiLevelType w:val="hybridMultilevel"/>
    <w:tmpl w:val="1EE2281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9" w15:restartNumberingAfterBreak="0">
    <w:nsid w:val="32651628"/>
    <w:multiLevelType w:val="hybridMultilevel"/>
    <w:tmpl w:val="44862D44"/>
    <w:lvl w:ilvl="0" w:tplc="08090003">
      <w:start w:val="1"/>
      <w:numFmt w:val="bullet"/>
      <w:lvlText w:val="o"/>
      <w:lvlJc w:val="left"/>
      <w:pPr>
        <w:ind w:left="1561" w:hanging="360"/>
      </w:pPr>
      <w:rPr>
        <w:rFonts w:ascii="Courier New" w:hAnsi="Courier New" w:cs="Courier New" w:hint="default"/>
      </w:rPr>
    </w:lvl>
    <w:lvl w:ilvl="1" w:tplc="08090003" w:tentative="1">
      <w:start w:val="1"/>
      <w:numFmt w:val="bullet"/>
      <w:lvlText w:val="o"/>
      <w:lvlJc w:val="left"/>
      <w:pPr>
        <w:ind w:left="2281" w:hanging="360"/>
      </w:pPr>
      <w:rPr>
        <w:rFonts w:ascii="Courier New" w:hAnsi="Courier New" w:cs="Courier New" w:hint="default"/>
      </w:rPr>
    </w:lvl>
    <w:lvl w:ilvl="2" w:tplc="08090005" w:tentative="1">
      <w:start w:val="1"/>
      <w:numFmt w:val="bullet"/>
      <w:lvlText w:val=""/>
      <w:lvlJc w:val="left"/>
      <w:pPr>
        <w:ind w:left="3001" w:hanging="360"/>
      </w:pPr>
      <w:rPr>
        <w:rFonts w:ascii="Wingdings" w:hAnsi="Wingdings" w:hint="default"/>
      </w:rPr>
    </w:lvl>
    <w:lvl w:ilvl="3" w:tplc="08090001" w:tentative="1">
      <w:start w:val="1"/>
      <w:numFmt w:val="bullet"/>
      <w:lvlText w:val=""/>
      <w:lvlJc w:val="left"/>
      <w:pPr>
        <w:ind w:left="3721" w:hanging="360"/>
      </w:pPr>
      <w:rPr>
        <w:rFonts w:ascii="Symbol" w:hAnsi="Symbol" w:hint="default"/>
      </w:rPr>
    </w:lvl>
    <w:lvl w:ilvl="4" w:tplc="08090003" w:tentative="1">
      <w:start w:val="1"/>
      <w:numFmt w:val="bullet"/>
      <w:lvlText w:val="o"/>
      <w:lvlJc w:val="left"/>
      <w:pPr>
        <w:ind w:left="4441" w:hanging="360"/>
      </w:pPr>
      <w:rPr>
        <w:rFonts w:ascii="Courier New" w:hAnsi="Courier New" w:cs="Courier New" w:hint="default"/>
      </w:rPr>
    </w:lvl>
    <w:lvl w:ilvl="5" w:tplc="08090005" w:tentative="1">
      <w:start w:val="1"/>
      <w:numFmt w:val="bullet"/>
      <w:lvlText w:val=""/>
      <w:lvlJc w:val="left"/>
      <w:pPr>
        <w:ind w:left="5161" w:hanging="360"/>
      </w:pPr>
      <w:rPr>
        <w:rFonts w:ascii="Wingdings" w:hAnsi="Wingdings" w:hint="default"/>
      </w:rPr>
    </w:lvl>
    <w:lvl w:ilvl="6" w:tplc="08090001" w:tentative="1">
      <w:start w:val="1"/>
      <w:numFmt w:val="bullet"/>
      <w:lvlText w:val=""/>
      <w:lvlJc w:val="left"/>
      <w:pPr>
        <w:ind w:left="5881" w:hanging="360"/>
      </w:pPr>
      <w:rPr>
        <w:rFonts w:ascii="Symbol" w:hAnsi="Symbol" w:hint="default"/>
      </w:rPr>
    </w:lvl>
    <w:lvl w:ilvl="7" w:tplc="08090003" w:tentative="1">
      <w:start w:val="1"/>
      <w:numFmt w:val="bullet"/>
      <w:lvlText w:val="o"/>
      <w:lvlJc w:val="left"/>
      <w:pPr>
        <w:ind w:left="6601" w:hanging="360"/>
      </w:pPr>
      <w:rPr>
        <w:rFonts w:ascii="Courier New" w:hAnsi="Courier New" w:cs="Courier New" w:hint="default"/>
      </w:rPr>
    </w:lvl>
    <w:lvl w:ilvl="8" w:tplc="08090005" w:tentative="1">
      <w:start w:val="1"/>
      <w:numFmt w:val="bullet"/>
      <w:lvlText w:val=""/>
      <w:lvlJc w:val="left"/>
      <w:pPr>
        <w:ind w:left="7321" w:hanging="360"/>
      </w:pPr>
      <w:rPr>
        <w:rFonts w:ascii="Wingdings" w:hAnsi="Wingdings" w:hint="default"/>
      </w:rPr>
    </w:lvl>
  </w:abstractNum>
  <w:abstractNum w:abstractNumId="10" w15:restartNumberingAfterBreak="0">
    <w:nsid w:val="374D415E"/>
    <w:multiLevelType w:val="multilevel"/>
    <w:tmpl w:val="4CE2DF5A"/>
    <w:lvl w:ilvl="0">
      <w:start w:val="1"/>
      <w:numFmt w:val="decimal"/>
      <w:lvlText w:val="%1."/>
      <w:lvlJc w:val="left"/>
      <w:pPr>
        <w:ind w:left="634" w:hanging="360"/>
      </w:pPr>
      <w:rPr>
        <w:rFonts w:hint="default"/>
      </w:rPr>
    </w:lvl>
    <w:lvl w:ilvl="1">
      <w:start w:val="1"/>
      <w:numFmt w:val="decimal"/>
      <w:isLgl/>
      <w:lvlText w:val="%1.%2"/>
      <w:lvlJc w:val="left"/>
      <w:pPr>
        <w:ind w:left="570" w:hanging="570"/>
      </w:pPr>
      <w:rPr>
        <w:rFonts w:ascii="Arial" w:eastAsia="Arial" w:hAnsi="Arial" w:cs="Arial" w:hint="default"/>
        <w:color w:val="000000"/>
      </w:rPr>
    </w:lvl>
    <w:lvl w:ilvl="2">
      <w:start w:val="1"/>
      <w:numFmt w:val="decimal"/>
      <w:isLgl/>
      <w:lvlText w:val="%1.%2.%3"/>
      <w:lvlJc w:val="left"/>
      <w:pPr>
        <w:ind w:left="994" w:hanging="720"/>
      </w:pPr>
      <w:rPr>
        <w:rFonts w:ascii="Arial" w:eastAsia="Arial" w:hAnsi="Arial" w:cs="Arial" w:hint="default"/>
        <w:color w:val="000000"/>
      </w:rPr>
    </w:lvl>
    <w:lvl w:ilvl="3">
      <w:start w:val="1"/>
      <w:numFmt w:val="decimal"/>
      <w:isLgl/>
      <w:lvlText w:val="%1.%2.%3.%4"/>
      <w:lvlJc w:val="left"/>
      <w:pPr>
        <w:ind w:left="994" w:hanging="720"/>
      </w:pPr>
      <w:rPr>
        <w:rFonts w:ascii="Arial" w:eastAsia="Arial" w:hAnsi="Arial" w:cs="Arial" w:hint="default"/>
        <w:color w:val="000000"/>
      </w:rPr>
    </w:lvl>
    <w:lvl w:ilvl="4">
      <w:start w:val="1"/>
      <w:numFmt w:val="decimal"/>
      <w:isLgl/>
      <w:lvlText w:val="%1.%2.%3.%4.%5"/>
      <w:lvlJc w:val="left"/>
      <w:pPr>
        <w:ind w:left="1354" w:hanging="1080"/>
      </w:pPr>
      <w:rPr>
        <w:rFonts w:ascii="Arial" w:eastAsia="Arial" w:hAnsi="Arial" w:cs="Arial" w:hint="default"/>
        <w:color w:val="000000"/>
      </w:rPr>
    </w:lvl>
    <w:lvl w:ilvl="5">
      <w:start w:val="1"/>
      <w:numFmt w:val="decimal"/>
      <w:isLgl/>
      <w:lvlText w:val="%1.%2.%3.%4.%5.%6"/>
      <w:lvlJc w:val="left"/>
      <w:pPr>
        <w:ind w:left="1354" w:hanging="1080"/>
      </w:pPr>
      <w:rPr>
        <w:rFonts w:ascii="Arial" w:eastAsia="Arial" w:hAnsi="Arial" w:cs="Arial" w:hint="default"/>
        <w:color w:val="000000"/>
      </w:rPr>
    </w:lvl>
    <w:lvl w:ilvl="6">
      <w:start w:val="1"/>
      <w:numFmt w:val="decimal"/>
      <w:isLgl/>
      <w:lvlText w:val="%1.%2.%3.%4.%5.%6.%7"/>
      <w:lvlJc w:val="left"/>
      <w:pPr>
        <w:ind w:left="1714" w:hanging="1440"/>
      </w:pPr>
      <w:rPr>
        <w:rFonts w:ascii="Arial" w:eastAsia="Arial" w:hAnsi="Arial" w:cs="Arial" w:hint="default"/>
        <w:color w:val="000000"/>
      </w:rPr>
    </w:lvl>
    <w:lvl w:ilvl="7">
      <w:start w:val="1"/>
      <w:numFmt w:val="decimal"/>
      <w:isLgl/>
      <w:lvlText w:val="%1.%2.%3.%4.%5.%6.%7.%8"/>
      <w:lvlJc w:val="left"/>
      <w:pPr>
        <w:ind w:left="1714" w:hanging="1440"/>
      </w:pPr>
      <w:rPr>
        <w:rFonts w:ascii="Arial" w:eastAsia="Arial" w:hAnsi="Arial" w:cs="Arial" w:hint="default"/>
        <w:color w:val="000000"/>
      </w:rPr>
    </w:lvl>
    <w:lvl w:ilvl="8">
      <w:start w:val="1"/>
      <w:numFmt w:val="decimal"/>
      <w:isLgl/>
      <w:lvlText w:val="%1.%2.%3.%4.%5.%6.%7.%8.%9"/>
      <w:lvlJc w:val="left"/>
      <w:pPr>
        <w:ind w:left="2074" w:hanging="1800"/>
      </w:pPr>
      <w:rPr>
        <w:rFonts w:ascii="Arial" w:eastAsia="Arial" w:hAnsi="Arial" w:cs="Arial" w:hint="default"/>
        <w:color w:val="000000"/>
      </w:rPr>
    </w:lvl>
  </w:abstractNum>
  <w:abstractNum w:abstractNumId="11" w15:restartNumberingAfterBreak="0">
    <w:nsid w:val="3CC10B67"/>
    <w:multiLevelType w:val="hybridMultilevel"/>
    <w:tmpl w:val="6082D1A2"/>
    <w:lvl w:ilvl="0" w:tplc="B756E72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202A80">
      <w:start w:val="1"/>
      <w:numFmt w:val="bullet"/>
      <w:lvlText w:val="o"/>
      <w:lvlJc w:val="left"/>
      <w:pPr>
        <w:ind w:left="1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66D27A">
      <w:start w:val="1"/>
      <w:numFmt w:val="bullet"/>
      <w:lvlRestart w:val="0"/>
      <w:lvlText w:val="•"/>
      <w:lvlJc w:val="left"/>
      <w:pPr>
        <w:ind w:left="2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EAA99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8EED3E">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46176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CCEC56">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B4C72A">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72FFE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56C7EE4"/>
    <w:multiLevelType w:val="hybridMultilevel"/>
    <w:tmpl w:val="B6D4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71308"/>
    <w:multiLevelType w:val="hybridMultilevel"/>
    <w:tmpl w:val="5218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E4AF1"/>
    <w:multiLevelType w:val="hybridMultilevel"/>
    <w:tmpl w:val="655E4CE4"/>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5" w15:restartNumberingAfterBreak="0">
    <w:nsid w:val="500A4C6D"/>
    <w:multiLevelType w:val="hybridMultilevel"/>
    <w:tmpl w:val="67EE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E18A0"/>
    <w:multiLevelType w:val="hybridMultilevel"/>
    <w:tmpl w:val="CE982380"/>
    <w:lvl w:ilvl="0" w:tplc="682E25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23208C"/>
    <w:multiLevelType w:val="hybridMultilevel"/>
    <w:tmpl w:val="528C3DB0"/>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9F6649"/>
    <w:multiLevelType w:val="hybridMultilevel"/>
    <w:tmpl w:val="71FC74C8"/>
    <w:lvl w:ilvl="0" w:tplc="9444A06C">
      <w:start w:val="8"/>
      <w:numFmt w:val="decimal"/>
      <w:lvlText w:val="%1"/>
      <w:lvlJc w:val="left"/>
      <w:pPr>
        <w:ind w:left="8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82AAF9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44409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57AEF5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F8CBFF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B86299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7AAE61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D40EA2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420C36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F8629E1"/>
    <w:multiLevelType w:val="hybridMultilevel"/>
    <w:tmpl w:val="F1CA8A3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2421074"/>
    <w:multiLevelType w:val="hybridMultilevel"/>
    <w:tmpl w:val="EEF4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CE29E7"/>
    <w:multiLevelType w:val="multilevel"/>
    <w:tmpl w:val="4CE2DF5A"/>
    <w:lvl w:ilvl="0">
      <w:start w:val="1"/>
      <w:numFmt w:val="decimal"/>
      <w:lvlText w:val="%1."/>
      <w:lvlJc w:val="left"/>
      <w:pPr>
        <w:ind w:left="634" w:hanging="360"/>
      </w:pPr>
      <w:rPr>
        <w:rFonts w:hint="default"/>
      </w:rPr>
    </w:lvl>
    <w:lvl w:ilvl="1">
      <w:start w:val="1"/>
      <w:numFmt w:val="decimal"/>
      <w:isLgl/>
      <w:lvlText w:val="%1.%2"/>
      <w:lvlJc w:val="left"/>
      <w:pPr>
        <w:ind w:left="570" w:hanging="570"/>
      </w:pPr>
      <w:rPr>
        <w:rFonts w:ascii="Arial" w:eastAsia="Arial" w:hAnsi="Arial" w:cs="Arial" w:hint="default"/>
        <w:color w:val="000000"/>
      </w:rPr>
    </w:lvl>
    <w:lvl w:ilvl="2">
      <w:start w:val="1"/>
      <w:numFmt w:val="decimal"/>
      <w:isLgl/>
      <w:lvlText w:val="%1.%2.%3"/>
      <w:lvlJc w:val="left"/>
      <w:pPr>
        <w:ind w:left="994" w:hanging="720"/>
      </w:pPr>
      <w:rPr>
        <w:rFonts w:ascii="Arial" w:eastAsia="Arial" w:hAnsi="Arial" w:cs="Arial" w:hint="default"/>
        <w:color w:val="000000"/>
      </w:rPr>
    </w:lvl>
    <w:lvl w:ilvl="3">
      <w:start w:val="1"/>
      <w:numFmt w:val="decimal"/>
      <w:isLgl/>
      <w:lvlText w:val="%1.%2.%3.%4"/>
      <w:lvlJc w:val="left"/>
      <w:pPr>
        <w:ind w:left="994" w:hanging="720"/>
      </w:pPr>
      <w:rPr>
        <w:rFonts w:ascii="Arial" w:eastAsia="Arial" w:hAnsi="Arial" w:cs="Arial" w:hint="default"/>
        <w:color w:val="000000"/>
      </w:rPr>
    </w:lvl>
    <w:lvl w:ilvl="4">
      <w:start w:val="1"/>
      <w:numFmt w:val="decimal"/>
      <w:isLgl/>
      <w:lvlText w:val="%1.%2.%3.%4.%5"/>
      <w:lvlJc w:val="left"/>
      <w:pPr>
        <w:ind w:left="1354" w:hanging="1080"/>
      </w:pPr>
      <w:rPr>
        <w:rFonts w:ascii="Arial" w:eastAsia="Arial" w:hAnsi="Arial" w:cs="Arial" w:hint="default"/>
        <w:color w:val="000000"/>
      </w:rPr>
    </w:lvl>
    <w:lvl w:ilvl="5">
      <w:start w:val="1"/>
      <w:numFmt w:val="decimal"/>
      <w:isLgl/>
      <w:lvlText w:val="%1.%2.%3.%4.%5.%6"/>
      <w:lvlJc w:val="left"/>
      <w:pPr>
        <w:ind w:left="1354" w:hanging="1080"/>
      </w:pPr>
      <w:rPr>
        <w:rFonts w:ascii="Arial" w:eastAsia="Arial" w:hAnsi="Arial" w:cs="Arial" w:hint="default"/>
        <w:color w:val="000000"/>
      </w:rPr>
    </w:lvl>
    <w:lvl w:ilvl="6">
      <w:start w:val="1"/>
      <w:numFmt w:val="decimal"/>
      <w:isLgl/>
      <w:lvlText w:val="%1.%2.%3.%4.%5.%6.%7"/>
      <w:lvlJc w:val="left"/>
      <w:pPr>
        <w:ind w:left="1714" w:hanging="1440"/>
      </w:pPr>
      <w:rPr>
        <w:rFonts w:ascii="Arial" w:eastAsia="Arial" w:hAnsi="Arial" w:cs="Arial" w:hint="default"/>
        <w:color w:val="000000"/>
      </w:rPr>
    </w:lvl>
    <w:lvl w:ilvl="7">
      <w:start w:val="1"/>
      <w:numFmt w:val="decimal"/>
      <w:isLgl/>
      <w:lvlText w:val="%1.%2.%3.%4.%5.%6.%7.%8"/>
      <w:lvlJc w:val="left"/>
      <w:pPr>
        <w:ind w:left="1714" w:hanging="1440"/>
      </w:pPr>
      <w:rPr>
        <w:rFonts w:ascii="Arial" w:eastAsia="Arial" w:hAnsi="Arial" w:cs="Arial" w:hint="default"/>
        <w:color w:val="000000"/>
      </w:rPr>
    </w:lvl>
    <w:lvl w:ilvl="8">
      <w:start w:val="1"/>
      <w:numFmt w:val="decimal"/>
      <w:isLgl/>
      <w:lvlText w:val="%1.%2.%3.%4.%5.%6.%7.%8.%9"/>
      <w:lvlJc w:val="left"/>
      <w:pPr>
        <w:ind w:left="2074" w:hanging="1800"/>
      </w:pPr>
      <w:rPr>
        <w:rFonts w:ascii="Arial" w:eastAsia="Arial" w:hAnsi="Arial" w:cs="Arial" w:hint="default"/>
        <w:color w:val="000000"/>
      </w:rPr>
    </w:lvl>
  </w:abstractNum>
  <w:abstractNum w:abstractNumId="22" w15:restartNumberingAfterBreak="0">
    <w:nsid w:val="72DD4E7A"/>
    <w:multiLevelType w:val="multilevel"/>
    <w:tmpl w:val="A19A38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3C93AF7"/>
    <w:multiLevelType w:val="multilevel"/>
    <w:tmpl w:val="D66EB4F6"/>
    <w:lvl w:ilvl="0">
      <w:start w:val="6"/>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3F14273"/>
    <w:multiLevelType w:val="hybridMultilevel"/>
    <w:tmpl w:val="038E9E6E"/>
    <w:lvl w:ilvl="0" w:tplc="857C8C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C94377"/>
    <w:multiLevelType w:val="hybridMultilevel"/>
    <w:tmpl w:val="E9C8585E"/>
    <w:lvl w:ilvl="0" w:tplc="0E86A7F4">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D487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1C5E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0660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3A76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EEDB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4A85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BE19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0CA4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F2164FD"/>
    <w:multiLevelType w:val="hybridMultilevel"/>
    <w:tmpl w:val="1F2C2742"/>
    <w:lvl w:ilvl="0" w:tplc="08090001">
      <w:start w:val="1"/>
      <w:numFmt w:val="bullet"/>
      <w:lvlText w:val=""/>
      <w:lvlJc w:val="left"/>
      <w:pPr>
        <w:ind w:left="1699" w:hanging="360"/>
      </w:pPr>
      <w:rPr>
        <w:rFonts w:ascii="Symbol" w:hAnsi="Symbol" w:hint="default"/>
      </w:rPr>
    </w:lvl>
    <w:lvl w:ilvl="1" w:tplc="08090003" w:tentative="1">
      <w:start w:val="1"/>
      <w:numFmt w:val="bullet"/>
      <w:lvlText w:val="o"/>
      <w:lvlJc w:val="left"/>
      <w:pPr>
        <w:ind w:left="2419" w:hanging="360"/>
      </w:pPr>
      <w:rPr>
        <w:rFonts w:ascii="Courier New" w:hAnsi="Courier New" w:cs="Courier New" w:hint="default"/>
      </w:rPr>
    </w:lvl>
    <w:lvl w:ilvl="2" w:tplc="08090005" w:tentative="1">
      <w:start w:val="1"/>
      <w:numFmt w:val="bullet"/>
      <w:lvlText w:val=""/>
      <w:lvlJc w:val="left"/>
      <w:pPr>
        <w:ind w:left="3139" w:hanging="360"/>
      </w:pPr>
      <w:rPr>
        <w:rFonts w:ascii="Wingdings" w:hAnsi="Wingdings" w:hint="default"/>
      </w:rPr>
    </w:lvl>
    <w:lvl w:ilvl="3" w:tplc="08090001" w:tentative="1">
      <w:start w:val="1"/>
      <w:numFmt w:val="bullet"/>
      <w:lvlText w:val=""/>
      <w:lvlJc w:val="left"/>
      <w:pPr>
        <w:ind w:left="3859" w:hanging="360"/>
      </w:pPr>
      <w:rPr>
        <w:rFonts w:ascii="Symbol" w:hAnsi="Symbol" w:hint="default"/>
      </w:rPr>
    </w:lvl>
    <w:lvl w:ilvl="4" w:tplc="08090003" w:tentative="1">
      <w:start w:val="1"/>
      <w:numFmt w:val="bullet"/>
      <w:lvlText w:val="o"/>
      <w:lvlJc w:val="left"/>
      <w:pPr>
        <w:ind w:left="4579" w:hanging="360"/>
      </w:pPr>
      <w:rPr>
        <w:rFonts w:ascii="Courier New" w:hAnsi="Courier New" w:cs="Courier New" w:hint="default"/>
      </w:rPr>
    </w:lvl>
    <w:lvl w:ilvl="5" w:tplc="08090005" w:tentative="1">
      <w:start w:val="1"/>
      <w:numFmt w:val="bullet"/>
      <w:lvlText w:val=""/>
      <w:lvlJc w:val="left"/>
      <w:pPr>
        <w:ind w:left="5299" w:hanging="360"/>
      </w:pPr>
      <w:rPr>
        <w:rFonts w:ascii="Wingdings" w:hAnsi="Wingdings" w:hint="default"/>
      </w:rPr>
    </w:lvl>
    <w:lvl w:ilvl="6" w:tplc="08090001" w:tentative="1">
      <w:start w:val="1"/>
      <w:numFmt w:val="bullet"/>
      <w:lvlText w:val=""/>
      <w:lvlJc w:val="left"/>
      <w:pPr>
        <w:ind w:left="6019" w:hanging="360"/>
      </w:pPr>
      <w:rPr>
        <w:rFonts w:ascii="Symbol" w:hAnsi="Symbol" w:hint="default"/>
      </w:rPr>
    </w:lvl>
    <w:lvl w:ilvl="7" w:tplc="08090003" w:tentative="1">
      <w:start w:val="1"/>
      <w:numFmt w:val="bullet"/>
      <w:lvlText w:val="o"/>
      <w:lvlJc w:val="left"/>
      <w:pPr>
        <w:ind w:left="6739" w:hanging="360"/>
      </w:pPr>
      <w:rPr>
        <w:rFonts w:ascii="Courier New" w:hAnsi="Courier New" w:cs="Courier New" w:hint="default"/>
      </w:rPr>
    </w:lvl>
    <w:lvl w:ilvl="8" w:tplc="08090005" w:tentative="1">
      <w:start w:val="1"/>
      <w:numFmt w:val="bullet"/>
      <w:lvlText w:val=""/>
      <w:lvlJc w:val="left"/>
      <w:pPr>
        <w:ind w:left="7459" w:hanging="360"/>
      </w:pPr>
      <w:rPr>
        <w:rFonts w:ascii="Wingdings" w:hAnsi="Wingdings" w:hint="default"/>
      </w:rPr>
    </w:lvl>
  </w:abstractNum>
  <w:num w:numId="1">
    <w:abstractNumId w:val="25"/>
  </w:num>
  <w:num w:numId="2">
    <w:abstractNumId w:val="2"/>
  </w:num>
  <w:num w:numId="3">
    <w:abstractNumId w:val="7"/>
  </w:num>
  <w:num w:numId="4">
    <w:abstractNumId w:val="11"/>
  </w:num>
  <w:num w:numId="5">
    <w:abstractNumId w:val="18"/>
  </w:num>
  <w:num w:numId="6">
    <w:abstractNumId w:val="22"/>
  </w:num>
  <w:num w:numId="7">
    <w:abstractNumId w:val="17"/>
  </w:num>
  <w:num w:numId="8">
    <w:abstractNumId w:val="23"/>
  </w:num>
  <w:num w:numId="9">
    <w:abstractNumId w:val="4"/>
  </w:num>
  <w:num w:numId="10">
    <w:abstractNumId w:val="24"/>
  </w:num>
  <w:num w:numId="11">
    <w:abstractNumId w:val="5"/>
  </w:num>
  <w:num w:numId="12">
    <w:abstractNumId w:val="13"/>
  </w:num>
  <w:num w:numId="13">
    <w:abstractNumId w:val="6"/>
  </w:num>
  <w:num w:numId="14">
    <w:abstractNumId w:val="9"/>
  </w:num>
  <w:num w:numId="15">
    <w:abstractNumId w:val="16"/>
  </w:num>
  <w:num w:numId="16">
    <w:abstractNumId w:val="20"/>
  </w:num>
  <w:num w:numId="17">
    <w:abstractNumId w:val="12"/>
  </w:num>
  <w:num w:numId="18">
    <w:abstractNumId w:val="8"/>
  </w:num>
  <w:num w:numId="19">
    <w:abstractNumId w:val="21"/>
  </w:num>
  <w:num w:numId="20">
    <w:abstractNumId w:val="10"/>
  </w:num>
  <w:num w:numId="21">
    <w:abstractNumId w:val="1"/>
  </w:num>
  <w:num w:numId="22">
    <w:abstractNumId w:val="0"/>
  </w:num>
  <w:num w:numId="23">
    <w:abstractNumId w:val="19"/>
  </w:num>
  <w:num w:numId="24">
    <w:abstractNumId w:val="26"/>
  </w:num>
  <w:num w:numId="25">
    <w:abstractNumId w:val="1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A2"/>
    <w:rsid w:val="000225FD"/>
    <w:rsid w:val="00037B41"/>
    <w:rsid w:val="00044E1E"/>
    <w:rsid w:val="00055CB1"/>
    <w:rsid w:val="00064E71"/>
    <w:rsid w:val="000673EF"/>
    <w:rsid w:val="0009765C"/>
    <w:rsid w:val="000A215F"/>
    <w:rsid w:val="000B5A50"/>
    <w:rsid w:val="000D2806"/>
    <w:rsid w:val="000D3EFB"/>
    <w:rsid w:val="000E46B4"/>
    <w:rsid w:val="000F14AF"/>
    <w:rsid w:val="000F231C"/>
    <w:rsid w:val="000F34D4"/>
    <w:rsid w:val="001028C8"/>
    <w:rsid w:val="0011499F"/>
    <w:rsid w:val="001228C5"/>
    <w:rsid w:val="00123494"/>
    <w:rsid w:val="00134039"/>
    <w:rsid w:val="00137243"/>
    <w:rsid w:val="00152AA0"/>
    <w:rsid w:val="00154A17"/>
    <w:rsid w:val="00176B86"/>
    <w:rsid w:val="0018429D"/>
    <w:rsid w:val="001B748A"/>
    <w:rsid w:val="001E1661"/>
    <w:rsid w:val="001E3FA8"/>
    <w:rsid w:val="001E683A"/>
    <w:rsid w:val="001F05B0"/>
    <w:rsid w:val="00203939"/>
    <w:rsid w:val="00204AE1"/>
    <w:rsid w:val="0021423D"/>
    <w:rsid w:val="0022204C"/>
    <w:rsid w:val="002249A0"/>
    <w:rsid w:val="002350A4"/>
    <w:rsid w:val="00241348"/>
    <w:rsid w:val="00244F52"/>
    <w:rsid w:val="00252D9B"/>
    <w:rsid w:val="00260829"/>
    <w:rsid w:val="002805D3"/>
    <w:rsid w:val="002939DC"/>
    <w:rsid w:val="00297868"/>
    <w:rsid w:val="002A5CD9"/>
    <w:rsid w:val="002D0E8A"/>
    <w:rsid w:val="002E1C96"/>
    <w:rsid w:val="002F31A2"/>
    <w:rsid w:val="002F5DA3"/>
    <w:rsid w:val="002F7FC6"/>
    <w:rsid w:val="003136A1"/>
    <w:rsid w:val="00315464"/>
    <w:rsid w:val="003266E3"/>
    <w:rsid w:val="00332762"/>
    <w:rsid w:val="0033334A"/>
    <w:rsid w:val="003373F3"/>
    <w:rsid w:val="00341999"/>
    <w:rsid w:val="00353591"/>
    <w:rsid w:val="00356BA2"/>
    <w:rsid w:val="00392C44"/>
    <w:rsid w:val="003A0583"/>
    <w:rsid w:val="003A1B7C"/>
    <w:rsid w:val="003D647B"/>
    <w:rsid w:val="003E04CD"/>
    <w:rsid w:val="003E0649"/>
    <w:rsid w:val="0040342F"/>
    <w:rsid w:val="004046FF"/>
    <w:rsid w:val="00411CD7"/>
    <w:rsid w:val="0044472C"/>
    <w:rsid w:val="00477DC9"/>
    <w:rsid w:val="004834C2"/>
    <w:rsid w:val="004A0204"/>
    <w:rsid w:val="004A0A15"/>
    <w:rsid w:val="004A29FB"/>
    <w:rsid w:val="004A304D"/>
    <w:rsid w:val="004B283C"/>
    <w:rsid w:val="004B7264"/>
    <w:rsid w:val="004C19DC"/>
    <w:rsid w:val="004C4605"/>
    <w:rsid w:val="004D15D2"/>
    <w:rsid w:val="004E1297"/>
    <w:rsid w:val="004E3EB6"/>
    <w:rsid w:val="004E61F1"/>
    <w:rsid w:val="004F3362"/>
    <w:rsid w:val="004F4D96"/>
    <w:rsid w:val="004F5690"/>
    <w:rsid w:val="00512DAA"/>
    <w:rsid w:val="00516D3D"/>
    <w:rsid w:val="005230AE"/>
    <w:rsid w:val="00523D63"/>
    <w:rsid w:val="00533E50"/>
    <w:rsid w:val="005404C5"/>
    <w:rsid w:val="00541242"/>
    <w:rsid w:val="0056702B"/>
    <w:rsid w:val="005752DE"/>
    <w:rsid w:val="00584E93"/>
    <w:rsid w:val="00585EDC"/>
    <w:rsid w:val="005878FF"/>
    <w:rsid w:val="00594609"/>
    <w:rsid w:val="005C485C"/>
    <w:rsid w:val="005F13CE"/>
    <w:rsid w:val="00601C3F"/>
    <w:rsid w:val="00602431"/>
    <w:rsid w:val="006038C8"/>
    <w:rsid w:val="006155D5"/>
    <w:rsid w:val="00637218"/>
    <w:rsid w:val="006477B7"/>
    <w:rsid w:val="006555FF"/>
    <w:rsid w:val="00692A41"/>
    <w:rsid w:val="006B24C6"/>
    <w:rsid w:val="006B4D66"/>
    <w:rsid w:val="006B593F"/>
    <w:rsid w:val="006B76B3"/>
    <w:rsid w:val="006C73A3"/>
    <w:rsid w:val="006E11A0"/>
    <w:rsid w:val="00703A45"/>
    <w:rsid w:val="0073093B"/>
    <w:rsid w:val="0075071C"/>
    <w:rsid w:val="00776A21"/>
    <w:rsid w:val="00790811"/>
    <w:rsid w:val="007E23EA"/>
    <w:rsid w:val="007F11EC"/>
    <w:rsid w:val="007F2170"/>
    <w:rsid w:val="0080793A"/>
    <w:rsid w:val="0081790F"/>
    <w:rsid w:val="0083177D"/>
    <w:rsid w:val="0084670D"/>
    <w:rsid w:val="00862C93"/>
    <w:rsid w:val="008635D9"/>
    <w:rsid w:val="00886B39"/>
    <w:rsid w:val="008A295E"/>
    <w:rsid w:val="008B1E25"/>
    <w:rsid w:val="008D2891"/>
    <w:rsid w:val="008E27E8"/>
    <w:rsid w:val="009147B9"/>
    <w:rsid w:val="00965097"/>
    <w:rsid w:val="009929F6"/>
    <w:rsid w:val="009A1011"/>
    <w:rsid w:val="009B5668"/>
    <w:rsid w:val="009B6FFC"/>
    <w:rsid w:val="009C142B"/>
    <w:rsid w:val="009C6D34"/>
    <w:rsid w:val="009D3591"/>
    <w:rsid w:val="009D5C9F"/>
    <w:rsid w:val="009E163D"/>
    <w:rsid w:val="00A0423B"/>
    <w:rsid w:val="00A270BA"/>
    <w:rsid w:val="00A30CF4"/>
    <w:rsid w:val="00A32A25"/>
    <w:rsid w:val="00A468EC"/>
    <w:rsid w:val="00A645C3"/>
    <w:rsid w:val="00A67100"/>
    <w:rsid w:val="00A80C32"/>
    <w:rsid w:val="00A92283"/>
    <w:rsid w:val="00A95A48"/>
    <w:rsid w:val="00AB49D9"/>
    <w:rsid w:val="00AD3710"/>
    <w:rsid w:val="00B03359"/>
    <w:rsid w:val="00B27FBB"/>
    <w:rsid w:val="00B461FF"/>
    <w:rsid w:val="00B4629B"/>
    <w:rsid w:val="00B64479"/>
    <w:rsid w:val="00B71574"/>
    <w:rsid w:val="00B81853"/>
    <w:rsid w:val="00B9190E"/>
    <w:rsid w:val="00B96D7D"/>
    <w:rsid w:val="00BA6B43"/>
    <w:rsid w:val="00BB31B7"/>
    <w:rsid w:val="00BB6860"/>
    <w:rsid w:val="00BD1A63"/>
    <w:rsid w:val="00BD2BDA"/>
    <w:rsid w:val="00BF2C6E"/>
    <w:rsid w:val="00BF6E95"/>
    <w:rsid w:val="00C01353"/>
    <w:rsid w:val="00C0202A"/>
    <w:rsid w:val="00C42AC8"/>
    <w:rsid w:val="00C67AE7"/>
    <w:rsid w:val="00C73809"/>
    <w:rsid w:val="00C76342"/>
    <w:rsid w:val="00C816E0"/>
    <w:rsid w:val="00C851A8"/>
    <w:rsid w:val="00C90864"/>
    <w:rsid w:val="00C90895"/>
    <w:rsid w:val="00C9284A"/>
    <w:rsid w:val="00CC0A50"/>
    <w:rsid w:val="00CC0FA6"/>
    <w:rsid w:val="00CD628E"/>
    <w:rsid w:val="00CD64F8"/>
    <w:rsid w:val="00CF4CD8"/>
    <w:rsid w:val="00CF5331"/>
    <w:rsid w:val="00CF5F50"/>
    <w:rsid w:val="00D24698"/>
    <w:rsid w:val="00D52C5A"/>
    <w:rsid w:val="00DA01F1"/>
    <w:rsid w:val="00DA6F02"/>
    <w:rsid w:val="00DC3B95"/>
    <w:rsid w:val="00DC3EB7"/>
    <w:rsid w:val="00DD557B"/>
    <w:rsid w:val="00DD6FDD"/>
    <w:rsid w:val="00DF4897"/>
    <w:rsid w:val="00E0312C"/>
    <w:rsid w:val="00E0490C"/>
    <w:rsid w:val="00E22DAB"/>
    <w:rsid w:val="00E42D07"/>
    <w:rsid w:val="00E43C7C"/>
    <w:rsid w:val="00E447CE"/>
    <w:rsid w:val="00E66F74"/>
    <w:rsid w:val="00E7103D"/>
    <w:rsid w:val="00E77DD6"/>
    <w:rsid w:val="00E82A4F"/>
    <w:rsid w:val="00E9064E"/>
    <w:rsid w:val="00EA308E"/>
    <w:rsid w:val="00EA4017"/>
    <w:rsid w:val="00EB604C"/>
    <w:rsid w:val="00EC4391"/>
    <w:rsid w:val="00EE6920"/>
    <w:rsid w:val="00EF7EAE"/>
    <w:rsid w:val="00F238F7"/>
    <w:rsid w:val="00F41B5C"/>
    <w:rsid w:val="00F54131"/>
    <w:rsid w:val="00F73C9A"/>
    <w:rsid w:val="00F775E4"/>
    <w:rsid w:val="00F82358"/>
    <w:rsid w:val="00F92B97"/>
    <w:rsid w:val="00F93054"/>
    <w:rsid w:val="00FA6864"/>
    <w:rsid w:val="00FB2DFA"/>
    <w:rsid w:val="00FB77AB"/>
    <w:rsid w:val="00FC5302"/>
    <w:rsid w:val="00FC6967"/>
    <w:rsid w:val="00FC7C0A"/>
    <w:rsid w:val="00FC7C73"/>
    <w:rsid w:val="00FE6CD2"/>
    <w:rsid w:val="00FF5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094C0-AC23-4557-B647-888F7CDD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1" w:line="251" w:lineRule="auto"/>
      <w:ind w:left="851"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1" w:line="265" w:lineRule="auto"/>
      <w:ind w:left="284"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Bullets"/>
    <w:basedOn w:val="Normal"/>
    <w:uiPriority w:val="34"/>
    <w:qFormat/>
    <w:rsid w:val="004046FF"/>
    <w:pPr>
      <w:ind w:left="720"/>
      <w:contextualSpacing/>
    </w:pPr>
  </w:style>
  <w:style w:type="table" w:styleId="TableGrid0">
    <w:name w:val="Table Grid"/>
    <w:basedOn w:val="TableNormal"/>
    <w:uiPriority w:val="59"/>
    <w:rsid w:val="008079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6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B43"/>
    <w:rPr>
      <w:rFonts w:ascii="Arial" w:eastAsia="Arial" w:hAnsi="Arial" w:cs="Arial"/>
      <w:color w:val="000000"/>
    </w:rPr>
  </w:style>
  <w:style w:type="paragraph" w:styleId="Footer">
    <w:name w:val="footer"/>
    <w:basedOn w:val="Normal"/>
    <w:link w:val="FooterChar"/>
    <w:uiPriority w:val="99"/>
    <w:unhideWhenUsed/>
    <w:rsid w:val="00BA6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B43"/>
    <w:rPr>
      <w:rFonts w:ascii="Arial" w:eastAsia="Arial" w:hAnsi="Arial" w:cs="Arial"/>
      <w:color w:val="000000"/>
    </w:rPr>
  </w:style>
  <w:style w:type="paragraph" w:styleId="NoSpacing">
    <w:name w:val="No Spacing"/>
    <w:uiPriority w:val="1"/>
    <w:qFormat/>
    <w:rsid w:val="00BD1A63"/>
    <w:pPr>
      <w:spacing w:after="0" w:line="240" w:lineRule="auto"/>
      <w:ind w:left="851" w:hanging="10"/>
    </w:pPr>
    <w:rPr>
      <w:rFonts w:ascii="Arial" w:eastAsia="Arial" w:hAnsi="Arial" w:cs="Arial"/>
      <w:color w:val="000000"/>
    </w:rPr>
  </w:style>
  <w:style w:type="paragraph" w:styleId="BalloonText">
    <w:name w:val="Balloon Text"/>
    <w:basedOn w:val="Normal"/>
    <w:link w:val="BalloonTextChar"/>
    <w:uiPriority w:val="99"/>
    <w:semiHidden/>
    <w:unhideWhenUsed/>
    <w:rsid w:val="00353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591"/>
    <w:rPr>
      <w:rFonts w:ascii="Segoe UI" w:eastAsia="Arial" w:hAnsi="Segoe UI" w:cs="Segoe UI"/>
      <w:color w:val="000000"/>
      <w:sz w:val="18"/>
      <w:szCs w:val="18"/>
    </w:rPr>
  </w:style>
  <w:style w:type="table" w:customStyle="1" w:styleId="TableGrid1">
    <w:name w:val="TableGrid1"/>
    <w:rsid w:val="00BB6860"/>
    <w:pPr>
      <w:spacing w:after="0" w:line="240" w:lineRule="auto"/>
    </w:pPr>
    <w:tblPr>
      <w:tblCellMar>
        <w:top w:w="0" w:type="dxa"/>
        <w:left w:w="0" w:type="dxa"/>
        <w:bottom w:w="0" w:type="dxa"/>
        <w:right w:w="0" w:type="dxa"/>
      </w:tblCellMar>
    </w:tblPr>
  </w:style>
  <w:style w:type="table" w:customStyle="1" w:styleId="TableGrid2">
    <w:name w:val="TableGrid2"/>
    <w:rsid w:val="007F11EC"/>
    <w:pPr>
      <w:spacing w:after="0" w:line="240" w:lineRule="auto"/>
    </w:pPr>
    <w:tblPr>
      <w:tblCellMar>
        <w:top w:w="0" w:type="dxa"/>
        <w:left w:w="0" w:type="dxa"/>
        <w:bottom w:w="0" w:type="dxa"/>
        <w:right w:w="0" w:type="dxa"/>
      </w:tblCellMar>
    </w:tblPr>
  </w:style>
  <w:style w:type="paragraph" w:customStyle="1" w:styleId="Default">
    <w:name w:val="Default"/>
    <w:rsid w:val="00EA40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1172">
      <w:bodyDiv w:val="1"/>
      <w:marLeft w:val="0"/>
      <w:marRight w:val="0"/>
      <w:marTop w:val="0"/>
      <w:marBottom w:val="0"/>
      <w:divBdr>
        <w:top w:val="none" w:sz="0" w:space="0" w:color="auto"/>
        <w:left w:val="none" w:sz="0" w:space="0" w:color="auto"/>
        <w:bottom w:val="none" w:sz="0" w:space="0" w:color="auto"/>
        <w:right w:val="none" w:sz="0" w:space="0" w:color="auto"/>
      </w:divBdr>
    </w:div>
    <w:div w:id="414521111">
      <w:bodyDiv w:val="1"/>
      <w:marLeft w:val="0"/>
      <w:marRight w:val="0"/>
      <w:marTop w:val="0"/>
      <w:marBottom w:val="0"/>
      <w:divBdr>
        <w:top w:val="none" w:sz="0" w:space="0" w:color="auto"/>
        <w:left w:val="none" w:sz="0" w:space="0" w:color="auto"/>
        <w:bottom w:val="none" w:sz="0" w:space="0" w:color="auto"/>
        <w:right w:val="none" w:sz="0" w:space="0" w:color="auto"/>
      </w:divBdr>
    </w:div>
    <w:div w:id="673872559">
      <w:bodyDiv w:val="1"/>
      <w:marLeft w:val="0"/>
      <w:marRight w:val="0"/>
      <w:marTop w:val="0"/>
      <w:marBottom w:val="0"/>
      <w:divBdr>
        <w:top w:val="none" w:sz="0" w:space="0" w:color="auto"/>
        <w:left w:val="none" w:sz="0" w:space="0" w:color="auto"/>
        <w:bottom w:val="none" w:sz="0" w:space="0" w:color="auto"/>
        <w:right w:val="none" w:sz="0" w:space="0" w:color="auto"/>
      </w:divBdr>
    </w:div>
    <w:div w:id="1623725025">
      <w:bodyDiv w:val="1"/>
      <w:marLeft w:val="0"/>
      <w:marRight w:val="0"/>
      <w:marTop w:val="0"/>
      <w:marBottom w:val="0"/>
      <w:divBdr>
        <w:top w:val="none" w:sz="0" w:space="0" w:color="auto"/>
        <w:left w:val="none" w:sz="0" w:space="0" w:color="auto"/>
        <w:bottom w:val="none" w:sz="0" w:space="0" w:color="auto"/>
        <w:right w:val="none" w:sz="0" w:space="0" w:color="auto"/>
      </w:divBdr>
    </w:div>
    <w:div w:id="1646930321">
      <w:bodyDiv w:val="1"/>
      <w:marLeft w:val="0"/>
      <w:marRight w:val="0"/>
      <w:marTop w:val="0"/>
      <w:marBottom w:val="0"/>
      <w:divBdr>
        <w:top w:val="none" w:sz="0" w:space="0" w:color="auto"/>
        <w:left w:val="none" w:sz="0" w:space="0" w:color="auto"/>
        <w:bottom w:val="none" w:sz="0" w:space="0" w:color="auto"/>
        <w:right w:val="none" w:sz="0" w:space="0" w:color="auto"/>
      </w:divBdr>
    </w:div>
    <w:div w:id="1850870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legislation.gov.uk/ukpga/2012/17/schedule/4/enacted" TargetMode="External"/><Relationship Id="rId4" Type="http://schemas.openxmlformats.org/officeDocument/2006/relationships/settings" Target="settings.xml"/><Relationship Id="rId9" Type="http://schemas.openxmlformats.org/officeDocument/2006/relationships/hyperlink" Target="http://www.legislation.gov.uk/ukpga/2012/17/schedule/4/enac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D452F-8BAC-4C4E-AECB-25964B3A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3489</Words>
  <Characters>19888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23331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phussey@southribble.gov.uk</dc:creator>
  <cp:keywords/>
  <cp:lastModifiedBy>Scambler, Dianne</cp:lastModifiedBy>
  <cp:revision>2</cp:revision>
  <cp:lastPrinted>2019-01-21T12:51:00Z</cp:lastPrinted>
  <dcterms:created xsi:type="dcterms:W3CDTF">2019-02-05T17:51:00Z</dcterms:created>
  <dcterms:modified xsi:type="dcterms:W3CDTF">2019-02-05T17:51:00Z</dcterms:modified>
</cp:coreProperties>
</file>